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276" w:lineRule="auto"/>
        <w:tabs>
          <w:tab w:val="left" w:pos="4253" w:leader="none"/>
          <w:tab w:val="left" w:pos="5103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245" cy="680720"/>
                <wp:effectExtent l="0" t="0" r="8255" b="5080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24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3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УЖУРСКОГО РАЙОНА</w:t>
      </w:r>
      <w:r/>
    </w:p>
    <w:p>
      <w:pPr>
        <w:ind w:left="2160" w:firstLine="720"/>
        <w:keepNext/>
        <w:rPr>
          <w:b/>
          <w:sz w:val="28"/>
        </w:rPr>
        <w:outlineLvl w:val="0"/>
      </w:pPr>
      <w:r>
        <w:rPr>
          <w:b/>
          <w:sz w:val="28"/>
        </w:rPr>
        <w:t xml:space="preserve">КРАСНОЯРСКОГО КРАЯ</w:t>
      </w:r>
      <w:r/>
    </w:p>
    <w:p>
      <w:pPr>
        <w:ind w:left="2160" w:firstLine="720"/>
        <w:keepNext/>
        <w:rPr>
          <w:sz w:val="40"/>
        </w:rPr>
        <w:outlineLvl w:val="0"/>
      </w:pPr>
      <w:r>
        <w:rPr>
          <w:sz w:val="40"/>
        </w:rPr>
      </w:r>
      <w:r/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  <w:t xml:space="preserve">14</w:t>
      </w:r>
      <w:r>
        <w:rPr>
          <w:sz w:val="28"/>
        </w:rPr>
        <w:t xml:space="preserve">.</w:t>
      </w:r>
      <w:r>
        <w:rPr>
          <w:sz w:val="28"/>
        </w:rPr>
        <w:t xml:space="preserve">0</w:t>
      </w:r>
      <w:r>
        <w:rPr>
          <w:sz w:val="28"/>
        </w:rPr>
        <w:t xml:space="preserve">6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  <w:r>
        <w:rPr>
          <w:sz w:val="28"/>
        </w:rPr>
        <w:t xml:space="preserve">Ужур   </w:t>
      </w:r>
      <w:r>
        <w:rPr>
          <w:sz w:val="28"/>
        </w:rPr>
        <w:tab/>
        <w:t xml:space="preserve"> </w:t>
      </w:r>
      <w:r>
        <w:rPr>
          <w:sz w:val="28"/>
        </w:rPr>
        <w:t xml:space="preserve">                                     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469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мерах поддержки арендаторов муниципального </w:t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 в связи с частичной мобилизацией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РФ</w:t>
      </w:r>
      <w:r>
        <w:rPr>
          <w:sz w:val="28"/>
          <w:szCs w:val="28"/>
        </w:rPr>
        <w:t xml:space="preserve">», распоряжением Правительства Российской Федерации от 15.10.2022 № 3046-</w:t>
      </w:r>
      <w:r>
        <w:rPr>
          <w:sz w:val="28"/>
          <w:szCs w:val="28"/>
        </w:rPr>
        <w:t xml:space="preserve">р, 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</w:t>
      </w:r>
      <w:r>
        <w:rPr>
          <w:sz w:val="28"/>
        </w:rPr>
        <w:t xml:space="preserve"> Уставом Ужурского  района </w:t>
      </w:r>
      <w:r>
        <w:rPr>
          <w:sz w:val="28"/>
          <w:szCs w:val="28"/>
        </w:rPr>
        <w:t xml:space="preserve">ПОСТАНОВЛЯЮ:</w:t>
      </w:r>
      <w:r/>
    </w:p>
    <w:p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Предоставить арендаторам муни</w:t>
      </w:r>
      <w:r>
        <w:rPr>
          <w:sz w:val="28"/>
          <w:szCs w:val="28"/>
        </w:rPr>
        <w:t xml:space="preserve">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</w:t>
      </w:r>
      <w:r>
        <w:rPr>
          <w:sz w:val="28"/>
          <w:szCs w:val="28"/>
        </w:rPr>
        <w:t xml:space="preserve">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11" w:tooltip="consultantplus://offline/ref=41BEB39A7DD9D7A97CD03BE03755F470F9B907667D202C40573D9138DA89B280A7D84037AC096800289B7E7CF2I6I2O" w:history="1">
        <w:r>
          <w:rPr>
            <w:sz w:val="28"/>
            <w:szCs w:val="28"/>
          </w:rPr>
          <w:t xml:space="preserve">Указом</w:t>
        </w:r>
      </w:hyperlink>
      <w:r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2" w:tooltip="consultantplus://offline/ref=41BEB39A7DD9D7A97CD03BE03755F470F9B9036B772B2C40573D9138DA89B280B5D8183CAD067D5578C12971F069492B54DB4DAC49I0IFO" w:history="1">
        <w:r>
          <w:rPr>
            <w:sz w:val="28"/>
            <w:szCs w:val="28"/>
          </w:rPr>
          <w:t xml:space="preserve">пунктом 7 статьи 38</w:t>
        </w:r>
      </w:hyperlink>
      <w:r>
        <w:rPr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</w:t>
      </w:r>
      <w:r>
        <w:rPr>
          <w:sz w:val="28"/>
          <w:szCs w:val="28"/>
        </w:rPr>
        <w:t xml:space="preserve">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предоставление возможности расторжения договоров аренды без применения штрафных санкций.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Предоставление отсрочки уплаты арендной платы, указанной в </w:t>
      </w:r>
      <w:hyperlink w:tooltip="#P7" w:anchor="P7" w:history="1">
        <w:r>
          <w:rPr>
            <w:sz w:val="28"/>
            <w:szCs w:val="28"/>
          </w:rPr>
          <w:t xml:space="preserve">подпункте «а» пункта 1</w:t>
        </w:r>
      </w:hyperlink>
      <w:r>
        <w:rPr>
          <w:sz w:val="28"/>
          <w:szCs w:val="28"/>
        </w:rPr>
        <w:t xml:space="preserve"> настоящего постановления, осуществляется на следующих условиях: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</w:t>
      </w:r>
      <w:r>
        <w:rPr>
          <w:sz w:val="28"/>
          <w:szCs w:val="28"/>
        </w:rPr>
        <w:t xml:space="preserve">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-арендатор направляет арендодателю уведомление о предоставлении отсрочки уплат</w:t>
      </w:r>
      <w:r>
        <w:rPr>
          <w:sz w:val="28"/>
          <w:szCs w:val="28"/>
        </w:rPr>
        <w:t xml:space="preserve">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r>
        <w:rPr>
          <w:sz w:val="28"/>
          <w:szCs w:val="28"/>
        </w:rPr>
        <w:t xml:space="preserve">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</w:t>
      </w:r>
      <w:r>
        <w:rPr>
          <w:sz w:val="28"/>
          <w:szCs w:val="28"/>
        </w:rPr>
        <w:t xml:space="preserve">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</w:t>
      </w:r>
      <w:r>
        <w:rPr>
          <w:sz w:val="28"/>
          <w:szCs w:val="28"/>
        </w:rPr>
        <w:t xml:space="preserve">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</w:t>
      </w:r>
      <w:r>
        <w:rPr>
          <w:sz w:val="28"/>
          <w:szCs w:val="28"/>
        </w:rPr>
        <w:t xml:space="preserve">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rPr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</w:t>
      </w:r>
      <w:r>
        <w:rPr>
          <w:sz w:val="28"/>
          <w:szCs w:val="28"/>
        </w:rPr>
        <w:t xml:space="preserve">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</w:t>
      </w:r>
      <w:r>
        <w:rPr>
          <w:sz w:val="28"/>
          <w:szCs w:val="28"/>
        </w:rPr>
        <w:t xml:space="preserve">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  <w:r/>
    </w:p>
    <w:p>
      <w:pPr>
        <w:pStyle w:val="6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tooltip="#P8" w:anchor="P8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арендатор направляет арендодателю уведомление о расторжении</w:t>
      </w:r>
      <w:r>
        <w:rPr>
          <w:sz w:val="28"/>
          <w:szCs w:val="28"/>
        </w:rPr>
        <w:t xml:space="preserve">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r>
        <w:rPr>
          <w:sz w:val="28"/>
          <w:szCs w:val="28"/>
        </w:rPr>
        <w:t xml:space="preserve">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аренды подлежит расторжению со дня получения арендодателем уведомления о расторжении договора аренды; </w:t>
      </w:r>
      <w:r/>
    </w:p>
    <w:p>
      <w:pPr>
        <w:pStyle w:val="68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  <w:r/>
    </w:p>
    <w:p>
      <w:pPr>
        <w:pStyle w:val="6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Меры поддержки, указанные в пункте 1 настоящего постановления, предоставляются по договорам аренды:</w:t>
      </w:r>
      <w:r/>
    </w:p>
    <w:p>
      <w:pPr>
        <w:pStyle w:val="681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составляющего казну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(в том числе земельных участков);</w:t>
      </w:r>
      <w:r/>
    </w:p>
    <w:p>
      <w:pPr>
        <w:pStyle w:val="6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eastAsiaTheme="minorHAnsi"/>
          <w:sz w:val="28"/>
          <w:szCs w:val="28"/>
          <w:lang w:eastAsia="en-US"/>
        </w:rPr>
        <w:t xml:space="preserve">первого заместителя главы по сельскому хозяйству и оперативному управлению Казанцева Ю. П.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Настоящее постановление вступает в силу после официального опубликования,</w:t>
      </w:r>
      <w:r>
        <w:rPr>
          <w:rFonts w:eastAsiaTheme="minorHAnsi"/>
          <w:sz w:val="28"/>
          <w:szCs w:val="28"/>
          <w:lang w:eastAsia="en-US"/>
        </w:rPr>
        <w:t xml:space="preserve"> но не ранее дня следующего за днем официального опубликования в специа</w:t>
      </w:r>
      <w:bookmarkStart w:id="0" w:name="_GoBack"/>
      <w:r/>
      <w:bookmarkEnd w:id="0"/>
      <w:r>
        <w:rPr>
          <w:rFonts w:eastAsiaTheme="minorHAnsi"/>
          <w:sz w:val="28"/>
          <w:szCs w:val="28"/>
          <w:lang w:eastAsia="en-US"/>
        </w:rPr>
        <w:t xml:space="preserve">льном выпуске газеты «Сибирский хлебороб».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К.Н. Зарецкий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/>
        <w:jc w:val="left"/>
        <w:tabs>
          <w:tab w:val="left" w:pos="3578" w:leader="none"/>
        </w:tabs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</w:r>
      <w:r>
        <w:rPr>
          <w:rFonts w:eastAsia="Calibri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28"/>
      <w:numFmt w:val="decimal"/>
      <w:isLgl w:val="false"/>
      <w:suff w:val="tab"/>
      <w:lvlText w:val="%1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1">
      <w:start w:val="10"/>
      <w:numFmt w:val="decimal"/>
      <w:isLgl w:val="false"/>
      <w:suff w:val="tab"/>
      <w:lvlText w:val="%1.%2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2">
      <w:start w:val="2013"/>
      <w:numFmt w:val="decimal"/>
      <w:isLgl w:val="false"/>
      <w:suff w:val="tab"/>
      <w:lvlText w:val="%1.%2.%3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851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  <w:tabs>
          <w:tab w:val="num" w:pos="16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14"/>
  </w:num>
  <w:num w:numId="12">
    <w:abstractNumId w:val="5"/>
  </w:num>
  <w:num w:numId="13">
    <w:abstractNumId w:val="19"/>
  </w:num>
  <w:num w:numId="14">
    <w:abstractNumId w:val="7"/>
  </w:num>
  <w:num w:numId="15">
    <w:abstractNumId w:val="18"/>
  </w:num>
  <w:num w:numId="16">
    <w:abstractNumId w:val="1"/>
  </w:num>
  <w:num w:numId="17">
    <w:abstractNumId w:val="4"/>
  </w:num>
  <w:num w:numId="18">
    <w:abstractNumId w:val="2"/>
  </w:num>
  <w:num w:numId="19">
    <w:abstractNumId w:val="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8"/>
    <w:link w:val="67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9"/>
    <w:uiPriority w:val="99"/>
  </w:style>
  <w:style w:type="character" w:styleId="45">
    <w:name w:val="Footer Char"/>
    <w:basedOn w:val="678"/>
    <w:link w:val="691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1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character" w:styleId="179">
    <w:name w:val="Endnote Text Char"/>
    <w:link w:val="695"/>
    <w:uiPriority w:val="99"/>
    <w:rPr>
      <w:sz w:val="20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7">
    <w:name w:val="Heading 1"/>
    <w:basedOn w:val="676"/>
    <w:next w:val="676"/>
    <w:link w:val="685"/>
    <w:qFormat/>
    <w:pPr>
      <w:ind w:left="-567" w:right="-766"/>
      <w:jc w:val="center"/>
      <w:keepNext/>
      <w:outlineLvl w:val="0"/>
    </w:pPr>
    <w:rPr>
      <w:sz w:val="28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2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3">
    <w:name w:val="Balloon Text"/>
    <w:basedOn w:val="676"/>
    <w:link w:val="684"/>
    <w:uiPriority w:val="99"/>
    <w:semiHidden/>
    <w:unhideWhenUsed/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78"/>
    <w:link w:val="68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85" w:customStyle="1">
    <w:name w:val="Заголовок 1 Знак"/>
    <w:basedOn w:val="678"/>
    <w:link w:val="67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86">
    <w:name w:val="Hyperlink"/>
    <w:basedOn w:val="678"/>
    <w:uiPriority w:val="99"/>
    <w:semiHidden/>
    <w:unhideWhenUsed/>
    <w:rPr>
      <w:color w:val="0000ff" w:themeColor="hyperlink"/>
      <w:u w:val="single"/>
    </w:rPr>
  </w:style>
  <w:style w:type="paragraph" w:styleId="687">
    <w:name w:val="List Paragraph"/>
    <w:basedOn w:val="676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9">
    <w:name w:val="Header"/>
    <w:basedOn w:val="676"/>
    <w:link w:val="6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basedOn w:val="678"/>
    <w:link w:val="68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1">
    <w:name w:val="Footer"/>
    <w:basedOn w:val="676"/>
    <w:link w:val="6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basedOn w:val="678"/>
    <w:link w:val="69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3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table" w:styleId="694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endnote text"/>
    <w:basedOn w:val="676"/>
    <w:link w:val="696"/>
    <w:uiPriority w:val="99"/>
    <w:semiHidden/>
    <w:unhideWhenUsed/>
  </w:style>
  <w:style w:type="character" w:styleId="696" w:customStyle="1">
    <w:name w:val="Текст концевой сноски Знак"/>
    <w:basedOn w:val="678"/>
    <w:link w:val="69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7">
    <w:name w:val="endnote reference"/>
    <w:basedOn w:val="678"/>
    <w:uiPriority w:val="99"/>
    <w:semiHidden/>
    <w:unhideWhenUsed/>
    <w:rPr>
      <w:vertAlign w:val="superscript"/>
    </w:rPr>
  </w:style>
  <w:style w:type="numbering" w:styleId="698" w:customStyle="1">
    <w:name w:val="Нет списка1"/>
    <w:next w:val="680"/>
    <w:uiPriority w:val="99"/>
    <w:semiHidden/>
    <w:unhideWhenUsed/>
  </w:style>
  <w:style w:type="numbering" w:styleId="699" w:customStyle="1">
    <w:name w:val="Нет списка11"/>
    <w:next w:val="680"/>
    <w:uiPriority w:val="99"/>
    <w:semiHidden/>
    <w:unhideWhenUsed/>
  </w:style>
  <w:style w:type="paragraph" w:styleId="700">
    <w:name w:val="Body Text"/>
    <w:basedOn w:val="676"/>
    <w:link w:val="701"/>
    <w:pPr>
      <w:spacing w:before="160" w:line="259" w:lineRule="auto"/>
    </w:pPr>
    <w:rPr>
      <w:b/>
      <w:bCs/>
      <w:sz w:val="28"/>
      <w:szCs w:val="28"/>
    </w:rPr>
  </w:style>
  <w:style w:type="character" w:styleId="701" w:customStyle="1">
    <w:name w:val="Основной текст Знак"/>
    <w:basedOn w:val="678"/>
    <w:link w:val="70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702" w:customStyle="1">
    <w:name w:val="Сетка таблицы1"/>
    <w:basedOn w:val="679"/>
    <w:next w:val="69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3" w:customStyle="1">
    <w:name w:val="Основной текст (2)_"/>
    <w:link w:val="706"/>
    <w:rPr>
      <w:rFonts w:ascii="Times New Roman" w:hAnsi="Times New Roman" w:eastAsia="Times New Roman"/>
      <w:b/>
      <w:bCs/>
      <w:shd w:val="clear" w:color="auto" w:fill="ffffff"/>
    </w:rPr>
  </w:style>
  <w:style w:type="character" w:styleId="704" w:customStyle="1">
    <w:name w:val="Основной текст (2) + 10 pt;Не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styleId="705" w:customStyle="1">
    <w:name w:val="Основной текст (2) + 11;5 pt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3"/>
      <w:szCs w:val="23"/>
      <w:u w:val="none"/>
      <w:lang w:val="ru-RU" w:eastAsia="ru-RU" w:bidi="ru-RU"/>
    </w:rPr>
  </w:style>
  <w:style w:type="paragraph" w:styleId="706" w:customStyle="1">
    <w:name w:val="Основной текст (2)"/>
    <w:basedOn w:val="676"/>
    <w:link w:val="703"/>
    <w:pPr>
      <w:spacing w:line="302" w:lineRule="exact"/>
      <w:shd w:val="clear" w:color="auto" w:fill="ffffff"/>
      <w:widowControl w:val="off"/>
    </w:pPr>
    <w:rPr>
      <w:rFonts w:cstheme="minorBidi"/>
      <w:b/>
      <w:bCs/>
      <w:sz w:val="22"/>
      <w:szCs w:val="22"/>
      <w:lang w:eastAsia="en-US"/>
    </w:rPr>
  </w:style>
  <w:style w:type="character" w:styleId="707" w:customStyle="1">
    <w:name w:val="Основной текст (2) + Lucida Sans Unicode;4 pt;Не полужирный;Курсив"/>
    <w:rPr>
      <w:rFonts w:ascii="Lucida Sans Unicode" w:hAnsi="Lucida Sans Unicode" w:eastAsia="Lucida Sans Unicode" w:cs="Lucida Sans Unicode"/>
      <w:b/>
      <w:bCs/>
      <w:i/>
      <w:iCs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60FB-3881-4318-B5ED-767A7ADA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revision>84</cp:revision>
  <dcterms:created xsi:type="dcterms:W3CDTF">2018-04-11T02:17:00Z</dcterms:created>
  <dcterms:modified xsi:type="dcterms:W3CDTF">2023-06-21T04:03:39Z</dcterms:modified>
</cp:coreProperties>
</file>