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hanging="284"/>
        <w:jc w:val="center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64515" cy="680720"/>
                <wp:effectExtent l="0" t="0" r="0" b="0"/>
                <wp:docPr id="1" name="Рисунок 1" descr="Герб кон [Converted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Герб кон [Converted]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lum bright="-60000" contrast="80000"/>
                        </a:blip>
                        <a:srcRect l="0" t="31250" r="14055" b="0"/>
                        <a:stretch/>
                      </pic:blipFill>
                      <pic:spPr bwMode="auto">
                        <a:xfrm>
                          <a:off x="0" y="0"/>
                          <a:ext cx="564515" cy="68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4.4pt;height:53.6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jc w:val="center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УЖУРСКОГО РАЙОНА</w:t>
      </w:r>
      <w:r/>
    </w:p>
    <w:p>
      <w:pPr>
        <w:jc w:val="center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КРАСНОЯРСКОГО КРАЯ</w:t>
      </w:r>
      <w:r/>
    </w:p>
    <w:p>
      <w:pPr>
        <w:ind w:left="-426"/>
        <w:jc w:val="center"/>
        <w:spacing w:after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</w:r>
      <w:r/>
    </w:p>
    <w:p>
      <w:pPr>
        <w:jc w:val="center"/>
        <w:spacing w:after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ПОСТАНОВЛЕНИЕ</w:t>
      </w:r>
      <w:r/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0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.20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                                        г. Ужур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379</w:t>
      </w:r>
      <w:r/>
    </w:p>
    <w:p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right="-1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</w:t>
      </w:r>
      <w:r>
        <w:rPr>
          <w:rFonts w:ascii="Times New Roman" w:hAnsi="Times New Roman"/>
          <w:sz w:val="28"/>
          <w:szCs w:val="28"/>
        </w:rPr>
        <w:t xml:space="preserve">Ужурского района</w:t>
      </w:r>
      <w:r>
        <w:rPr>
          <w:rFonts w:ascii="Times New Roman" w:hAnsi="Times New Roman"/>
          <w:sz w:val="28"/>
          <w:szCs w:val="28"/>
        </w:rPr>
        <w:t xml:space="preserve"> от 03.11.2016 № 633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Обеспечение безопасности жизнедеятельности населения </w:t>
      </w:r>
      <w:r>
        <w:rPr>
          <w:rFonts w:ascii="Times New Roman" w:hAnsi="Times New Roman"/>
          <w:sz w:val="28"/>
          <w:szCs w:val="28"/>
        </w:rPr>
        <w:t xml:space="preserve">по</w:t>
      </w:r>
      <w:r>
        <w:rPr>
          <w:rFonts w:ascii="Times New Roman" w:hAnsi="Times New Roman"/>
          <w:sz w:val="28"/>
          <w:szCs w:val="28"/>
        </w:rPr>
        <w:t xml:space="preserve"> Ужурском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 xml:space="preserve">у»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179 Бюджетного кодекса Российской Федерац</w:t>
      </w:r>
      <w:r>
        <w:rPr>
          <w:rFonts w:ascii="Times New Roman" w:hAnsi="Times New Roman"/>
          <w:sz w:val="28"/>
          <w:szCs w:val="28"/>
        </w:rPr>
        <w:t xml:space="preserve">ии, постановление администрации Ужурского района от 12.08.2013 года № 724 «Об утверждении Порядка принятия решений о разработке муниципальных программ Ужурского района, их формировании и реализации», Уставом Ужурского района Красноярского края, ПОСТАНОВЛЯЮ</w:t>
      </w:r>
      <w:r>
        <w:rPr>
          <w:rFonts w:ascii="Times New Roman" w:hAnsi="Times New Roman"/>
          <w:b/>
          <w:sz w:val="28"/>
          <w:szCs w:val="28"/>
        </w:rPr>
        <w:t xml:space="preserve">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Внести в приложение к постановлению администрации Ужурского района от 03.11.2016 № 6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33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Обеспечение безопасности жизнедеятельности населения </w:t>
      </w:r>
      <w:r>
        <w:rPr>
          <w:rFonts w:ascii="Times New Roman" w:hAnsi="Times New Roman"/>
          <w:sz w:val="28"/>
          <w:szCs w:val="28"/>
        </w:rPr>
        <w:t xml:space="preserve">по</w:t>
      </w:r>
      <w:r>
        <w:rPr>
          <w:rFonts w:ascii="Times New Roman" w:hAnsi="Times New Roman"/>
          <w:sz w:val="28"/>
          <w:szCs w:val="28"/>
        </w:rPr>
        <w:t xml:space="preserve"> Ужурском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 xml:space="preserve">у»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изменения, изложив его в новой редакции, согласно приложению.</w:t>
      </w:r>
      <w:r/>
    </w:p>
    <w:p>
      <w:pPr>
        <w:pStyle w:val="749"/>
        <w:ind w:firstLine="708"/>
        <w:jc w:val="both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2. Контроль за выполнением постановления возложить на первого заместителя главы по сельскому хозяйству и оперативному управлению Ю.П. Казанцева. </w:t>
      </w:r>
      <w:r/>
    </w:p>
    <w:p>
      <w:pPr>
        <w:pStyle w:val="73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Постановление вступает в силу в день, следующий за днем официального опубликования в специальном выпуске газеты «Сибирский хлебороб».</w:t>
      </w:r>
      <w:r/>
    </w:p>
    <w:p>
      <w:pPr>
        <w:pStyle w:val="7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</w:t>
      </w:r>
      <w:r>
        <w:rPr>
          <w:rFonts w:ascii="Times New Roman" w:hAnsi="Times New Roman"/>
          <w:sz w:val="28"/>
          <w:szCs w:val="28"/>
        </w:rPr>
        <w:t xml:space="preserve">лав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района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К.Н. Зарецкий</w:t>
      </w:r>
      <w:r>
        <w:rPr>
          <w:rFonts w:ascii="Times New Roman" w:hAnsi="Times New Roman"/>
          <w:sz w:val="28"/>
          <w:szCs w:val="28"/>
        </w:rPr>
        <w:t xml:space="preserve"> </w:t>
      </w:r>
      <w:r/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749"/>
        <w:ind w:firstLine="0"/>
        <w:rPr>
          <w:rFonts w:ascii="Times New Roman" w:hAnsi="Times New Roman" w:cs="Times New Roman"/>
          <w:sz w:val="28"/>
          <w:szCs w:val="28"/>
        </w:rPr>
        <w:sectPr>
          <w:footnotePr/>
          <w:endnotePr/>
          <w:type w:val="nextPage"/>
          <w:pgSz w:w="11905" w:h="16838" w:orient="portrait"/>
          <w:pgMar w:top="709" w:right="851" w:bottom="1134" w:left="1701" w:header="720" w:footer="720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49"/>
        <w:ind w:left="10065" w:firstLine="0"/>
        <w:jc w:val="right"/>
        <w:rPr>
          <w:rFonts w:ascii="Times New Roman" w:hAnsi="Times New Roman"/>
          <w:sz w:val="24"/>
          <w:szCs w:val="24"/>
        </w:rPr>
        <w:outlineLvl w:val="2"/>
      </w:pPr>
      <w:r>
        <w:rPr>
          <w:rFonts w:ascii="Times New Roman" w:hAnsi="Times New Roman"/>
          <w:sz w:val="24"/>
          <w:szCs w:val="24"/>
        </w:rPr>
        <w:t xml:space="preserve">Приложение</w:t>
      </w:r>
      <w:r/>
    </w:p>
    <w:p>
      <w:pPr>
        <w:pStyle w:val="753"/>
        <w:ind w:left="10065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к подпрограмме 1</w:t>
      </w:r>
      <w:r/>
    </w:p>
    <w:p>
      <w:pPr>
        <w:jc w:val="center"/>
        <w:rPr>
          <w:rFonts w:ascii="Times New Roman" w:hAnsi="Times New Roman"/>
          <w:b/>
          <w:sz w:val="28"/>
          <w:szCs w:val="28"/>
        </w:rPr>
        <w:outlineLvl w:val="0"/>
      </w:pPr>
      <w:r>
        <w:rPr>
          <w:rFonts w:ascii="Times New Roman" w:hAnsi="Times New Roman"/>
          <w:b/>
          <w:sz w:val="28"/>
          <w:szCs w:val="28"/>
        </w:rPr>
        <w:t xml:space="preserve">Перечень мероприятий подпрограммы </w:t>
      </w:r>
      <w:r/>
    </w:p>
    <w:tbl>
      <w:tblPr>
        <w:tblStyle w:val="766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836"/>
        <w:gridCol w:w="1674"/>
        <w:gridCol w:w="2151"/>
        <w:gridCol w:w="735"/>
        <w:gridCol w:w="647"/>
        <w:gridCol w:w="46"/>
        <w:gridCol w:w="1399"/>
        <w:gridCol w:w="10"/>
        <w:gridCol w:w="717"/>
        <w:gridCol w:w="1185"/>
        <w:gridCol w:w="1163"/>
        <w:gridCol w:w="1163"/>
        <w:gridCol w:w="59"/>
        <w:gridCol w:w="816"/>
        <w:gridCol w:w="1559"/>
      </w:tblGrid>
      <w:tr>
        <w:trPr/>
        <w:tc>
          <w:tcPr>
            <w:tcW w:w="28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Статус (программа, подпрограмма)</w:t>
            </w:r>
            <w:r/>
          </w:p>
        </w:tc>
        <w:tc>
          <w:tcPr>
            <w:tcW w:w="167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программы, подпрограммы</w:t>
            </w:r>
            <w:r/>
          </w:p>
        </w:tc>
        <w:tc>
          <w:tcPr>
            <w:tcW w:w="215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ГРБС</w:t>
            </w:r>
            <w:r/>
          </w:p>
        </w:tc>
        <w:tc>
          <w:tcPr>
            <w:gridSpan w:val="6"/>
            <w:tcW w:w="35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Код бюджетной классификации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5"/>
            <w:tcW w:w="43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Расходы по годам реализации программы, (тыс. руб.), годы</w:t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ind w:left="-93" w:right="-49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  <w:r/>
          </w:p>
        </w:tc>
      </w:tr>
      <w:tr>
        <w:trPr>
          <w:trHeight w:val="1734"/>
        </w:trPr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ГРБС</w:t>
            </w:r>
            <w:r/>
          </w:p>
        </w:tc>
        <w:tc>
          <w:tcPr>
            <w:tcW w:w="6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</w:t>
            </w:r>
            <w:r/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ЦСР</w:t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</w:t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ind w:left="-108" w:right="-57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очередной финансовый год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ind w:left="-17" w:right="-28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первый год планового периода</w:t>
            </w:r>
            <w:r/>
          </w:p>
          <w:p>
            <w:pPr>
              <w:ind w:left="-17" w:right="-28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ind w:left="-46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второй год планового периода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</w:t>
            </w:r>
            <w:r/>
          </w:p>
        </w:tc>
        <w:tc>
          <w:tcPr>
            <w:gridSpan w:val="2"/>
            <w:tcW w:w="875" w:type="dxa"/>
            <w:textDirection w:val="lrTb"/>
            <w:noWrap w:val="false"/>
          </w:tcPr>
          <w:p>
            <w:pPr>
              <w:ind w:left="-75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Итого на период (202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</w:t>
            </w:r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2836" w:type="dxa"/>
            <w:vMerge w:val="restart"/>
            <w:textDirection w:val="lrTb"/>
            <w:noWrap w:val="false"/>
          </w:tcPr>
          <w:p>
            <w:pPr>
              <w:ind w:right="-108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1</w:t>
            </w:r>
            <w:r/>
          </w:p>
        </w:tc>
        <w:tc>
          <w:tcPr>
            <w:tcW w:w="167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«Защита населения и территорий Ужурского района от чрезвычайных ситуаций природного и техногенного характера»</w:t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расходные обязательства по подпрограмме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</w:t>
            </w:r>
            <w:r/>
          </w:p>
        </w:tc>
        <w:tc>
          <w:tcPr>
            <w:tcW w:w="6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</w:t>
            </w:r>
            <w:r/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</w:t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</w:t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16194,4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14232,4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14512,4</w:t>
            </w:r>
            <w:r/>
          </w:p>
        </w:tc>
        <w:tc>
          <w:tcPr>
            <w:gridSpan w:val="2"/>
            <w:tcW w:w="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44939,2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ind w:firstLine="708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397"/>
        </w:trPr>
        <w:tc>
          <w:tcPr>
            <w:tcW w:w="283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по ГРБС: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</w:t>
            </w:r>
            <w:bookmarkStart w:id="0" w:name="_GoBack"/>
            <w:r/>
            <w:bookmarkEnd w:id="0"/>
            <w:r/>
            <w:r/>
          </w:p>
        </w:tc>
        <w:tc>
          <w:tcPr>
            <w:tcW w:w="6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</w:t>
            </w:r>
            <w:r/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</w:t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</w:t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283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Ужурского района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140 </w:t>
            </w:r>
            <w:r/>
          </w:p>
        </w:tc>
        <w:tc>
          <w:tcPr>
            <w:tcW w:w="6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</w:t>
            </w:r>
            <w:r/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</w:t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</w:t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16194,4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14232,4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14512,4</w:t>
            </w:r>
            <w:r/>
          </w:p>
        </w:tc>
        <w:tc>
          <w:tcPr>
            <w:gridSpan w:val="2"/>
            <w:tcW w:w="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44939,2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283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Финансовое управление администрации Ужурского района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090</w:t>
            </w:r>
            <w:r/>
          </w:p>
        </w:tc>
        <w:tc>
          <w:tcPr>
            <w:tcW w:w="6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</w:t>
            </w:r>
            <w:r/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</w:t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</w:t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</w:t>
            </w:r>
            <w:r/>
          </w:p>
        </w:tc>
        <w:tc>
          <w:tcPr>
            <w:gridSpan w:val="2"/>
            <w:tcW w:w="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gridSpan w:val="15"/>
            <w:tcW w:w="16160" w:type="dxa"/>
            <w:textDirection w:val="lrTb"/>
            <w:noWrap w:val="false"/>
          </w:tcPr>
          <w:p>
            <w:pPr>
              <w:pStyle w:val="749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Обеспечение безопасности на водных объектах</w:t>
            </w:r>
            <w:r/>
          </w:p>
        </w:tc>
      </w:tr>
      <w:tr>
        <w:trPr>
          <w:trHeight w:val="560"/>
        </w:trPr>
        <w:tc>
          <w:tcPr>
            <w:tcW w:w="283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безопасности на 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дротехнических сооружениях, обеспечения безопасности людей на водных объектах, информирование населения в области обеспечения безопасности людей на водных объектах на территории Ужурского района, от чрезвычайных ситуаций природного и техногенного характера</w:t>
            </w:r>
            <w:r/>
          </w:p>
        </w:tc>
        <w:tc>
          <w:tcPr>
            <w:tcW w:w="167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расходные обязательства 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6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</w:t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,0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25,0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25,0</w:t>
            </w:r>
            <w:r/>
          </w:p>
        </w:tc>
        <w:tc>
          <w:tcPr>
            <w:gridSpan w:val="2"/>
            <w:tcW w:w="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по ГРБС: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6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793"/>
        </w:trPr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Ужурского района 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5280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140</w:t>
            </w:r>
            <w:r/>
          </w:p>
        </w:tc>
        <w:tc>
          <w:tcPr>
            <w:tcW w:w="647" w:type="dxa"/>
            <w:textDirection w:val="lrTb"/>
            <w:noWrap w:val="false"/>
          </w:tcPr>
          <w:p>
            <w:pPr>
              <w:ind w:left="-94" w:right="-114"/>
              <w:jc w:val="center"/>
              <w:spacing w:after="0" w:line="240" w:lineRule="auto"/>
              <w:tabs>
                <w:tab w:val="left" w:pos="5280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0406</w:t>
            </w:r>
            <w:r/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ind w:left="-102" w:right="-108"/>
              <w:jc w:val="center"/>
              <w:spacing w:after="0" w:line="240" w:lineRule="auto"/>
              <w:tabs>
                <w:tab w:val="left" w:pos="5280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0210081090</w:t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5280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244</w:t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,0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25,0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25,0</w:t>
            </w:r>
            <w:r/>
          </w:p>
        </w:tc>
        <w:tc>
          <w:tcPr>
            <w:gridSpan w:val="2"/>
            <w:tcW w:w="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Страховка ГТС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озеро Белое</w:t>
            </w:r>
            <w:r/>
          </w:p>
        </w:tc>
      </w:tr>
      <w:tr>
        <w:trPr>
          <w:trHeight w:val="210"/>
        </w:trPr>
        <w:tc>
          <w:tcPr>
            <w:tcW w:w="283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Комплексное обследование, проектирование и декларирование гидротехнического сооружения водохранилища оз. Белое в рамках подпрограммы «Защита населения и территории Ужурского района от чрезвычайных ситуаций природного и техногенного характера</w:t>
            </w:r>
            <w:r/>
          </w:p>
        </w:tc>
        <w:tc>
          <w:tcPr>
            <w:tcW w:w="167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расходные обязательства </w:t>
            </w:r>
            <w:r/>
          </w:p>
        </w:tc>
        <w:tc>
          <w:tcPr>
            <w:tcBorders>
              <w:bottom w:val="single" w:color="auto" w:sz="4" w:space="0"/>
            </w:tcBorders>
            <w:tcW w:w="7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5280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  <w:p>
            <w:pPr>
              <w:spacing w:after="0" w:line="240" w:lineRule="auto"/>
              <w:tabs>
                <w:tab w:val="left" w:pos="5280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647" w:type="dxa"/>
            <w:textDirection w:val="lrTb"/>
            <w:noWrap w:val="false"/>
          </w:tcPr>
          <w:p>
            <w:pPr>
              <w:ind w:left="-94" w:right="-114"/>
              <w:jc w:val="center"/>
              <w:spacing w:after="0" w:line="240" w:lineRule="auto"/>
              <w:tabs>
                <w:tab w:val="left" w:pos="5280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  <w:p>
            <w:pPr>
              <w:ind w:left="-94" w:right="-114"/>
              <w:jc w:val="center"/>
              <w:spacing w:after="0" w:line="240" w:lineRule="auto"/>
              <w:tabs>
                <w:tab w:val="left" w:pos="5280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bottom w:val="single" w:color="auto" w:sz="4" w:space="0"/>
            </w:tcBorders>
            <w:tcW w:w="1445" w:type="dxa"/>
            <w:textDirection w:val="lrTb"/>
            <w:noWrap w:val="false"/>
          </w:tcPr>
          <w:p>
            <w:pPr>
              <w:ind w:left="-102" w:right="-108"/>
              <w:jc w:val="center"/>
              <w:spacing w:after="0" w:line="240" w:lineRule="auto"/>
              <w:tabs>
                <w:tab w:val="left" w:pos="5280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  <w:p>
            <w:pPr>
              <w:ind w:left="-102" w:right="-108"/>
              <w:jc w:val="center"/>
              <w:spacing w:after="0" w:line="240" w:lineRule="auto"/>
              <w:tabs>
                <w:tab w:val="left" w:pos="5280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bottom w:val="single" w:color="auto" w:sz="4" w:space="0"/>
            </w:tcBorders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5280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/>
          </w:p>
        </w:tc>
        <w:tc>
          <w:tcPr>
            <w:tcBorders>
              <w:bottom w:val="single" w:color="auto" w:sz="4" w:space="0"/>
            </w:tcBorders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80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,0</w:t>
            </w:r>
            <w:r/>
          </w:p>
        </w:tc>
        <w:tc>
          <w:tcPr>
            <w:tcBorders>
              <w:bottom w:val="single" w:color="auto" w:sz="4" w:space="0"/>
            </w:tcBorders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bottom w:val="single" w:color="auto" w:sz="4" w:space="0"/>
            </w:tcBorders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gridSpan w:val="2"/>
            <w:tcBorders>
              <w:bottom w:val="single" w:color="auto" w:sz="4" w:space="0"/>
            </w:tcBorders>
            <w:tcW w:w="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80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,0</w:t>
            </w:r>
            <w:r/>
          </w:p>
        </w:tc>
        <w:tc>
          <w:tcPr>
            <w:tcBorders>
              <w:bottom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trHeight w:val="226"/>
        </w:trPr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по ГРБС: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5280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647" w:type="dxa"/>
            <w:textDirection w:val="lrTb"/>
            <w:noWrap w:val="false"/>
          </w:tcPr>
          <w:p>
            <w:pPr>
              <w:ind w:left="-94" w:right="-114"/>
              <w:jc w:val="center"/>
              <w:spacing w:after="0" w:line="240" w:lineRule="auto"/>
              <w:tabs>
                <w:tab w:val="left" w:pos="5280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bottom w:val="single" w:color="auto" w:sz="4" w:space="0"/>
            </w:tcBorders>
            <w:tcW w:w="1445" w:type="dxa"/>
            <w:textDirection w:val="lrTb"/>
            <w:noWrap w:val="false"/>
          </w:tcPr>
          <w:p>
            <w:pPr>
              <w:ind w:left="-102" w:right="-108"/>
              <w:jc w:val="center"/>
              <w:spacing w:after="0" w:line="240" w:lineRule="auto"/>
              <w:tabs>
                <w:tab w:val="left" w:pos="5280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bottom w:val="single" w:color="auto" w:sz="4" w:space="0"/>
            </w:tcBorders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5280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bottom w:val="single" w:color="auto" w:sz="4" w:space="0"/>
            </w:tcBorders>
            <w:tcW w:w="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trHeight w:val="2595"/>
        </w:trPr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Ужурского района</w:t>
            </w:r>
            <w:r/>
          </w:p>
        </w:tc>
        <w:tc>
          <w:tcPr>
            <w:tcBorders>
              <w:top w:val="single" w:color="auto" w:sz="4" w:space="0"/>
            </w:tcBorders>
            <w:tcW w:w="7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5280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140</w:t>
            </w:r>
            <w:r/>
          </w:p>
        </w:tc>
        <w:tc>
          <w:tcPr>
            <w:tcBorders>
              <w:top w:val="single" w:color="auto" w:sz="4" w:space="0"/>
            </w:tcBorders>
            <w:tcW w:w="647" w:type="dxa"/>
            <w:textDirection w:val="lrTb"/>
            <w:noWrap w:val="false"/>
          </w:tcPr>
          <w:p>
            <w:pPr>
              <w:ind w:left="-94" w:right="-114"/>
              <w:jc w:val="center"/>
              <w:spacing w:after="0" w:line="240" w:lineRule="auto"/>
              <w:tabs>
                <w:tab w:val="left" w:pos="5280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040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6</w:t>
            </w:r>
            <w:r/>
          </w:p>
        </w:tc>
        <w:tc>
          <w:tcPr>
            <w:gridSpan w:val="2"/>
            <w:tcBorders>
              <w:top w:val="single" w:color="auto" w:sz="4" w:space="0"/>
            </w:tcBorders>
            <w:tcW w:w="1445" w:type="dxa"/>
            <w:textDirection w:val="lrTb"/>
            <w:noWrap w:val="false"/>
          </w:tcPr>
          <w:p>
            <w:pPr>
              <w:ind w:left="-102" w:right="-108"/>
              <w:jc w:val="center"/>
              <w:spacing w:after="0" w:line="240" w:lineRule="auto"/>
              <w:tabs>
                <w:tab w:val="left" w:pos="5280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0210081060</w:t>
            </w:r>
            <w:r/>
          </w:p>
        </w:tc>
        <w:tc>
          <w:tcPr>
            <w:gridSpan w:val="2"/>
            <w:tcBorders>
              <w:top w:val="single" w:color="auto" w:sz="4" w:space="0"/>
            </w:tcBorders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5280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240</w:t>
            </w:r>
            <w:r/>
          </w:p>
        </w:tc>
        <w:tc>
          <w:tcPr>
            <w:tcBorders>
              <w:top w:val="single" w:color="auto" w:sz="4" w:space="0"/>
            </w:tcBorders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80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,0</w:t>
            </w:r>
            <w:r/>
          </w:p>
        </w:tc>
        <w:tc>
          <w:tcPr>
            <w:tcBorders>
              <w:top w:val="single" w:color="auto" w:sz="4" w:space="0"/>
            </w:tcBorders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color="auto" w:sz="4" w:space="0"/>
            </w:tcBorders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gridSpan w:val="2"/>
            <w:tcBorders>
              <w:top w:val="single" w:color="auto" w:sz="4" w:space="0"/>
            </w:tcBorders>
            <w:tcW w:w="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80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,0</w:t>
            </w:r>
            <w:r/>
          </w:p>
        </w:tc>
        <w:tc>
          <w:tcPr>
            <w:tcBorders>
              <w:top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Проектирование и декларирование ГТС на водохранилище оз. Белое</w:t>
            </w:r>
            <w:r/>
          </w:p>
        </w:tc>
      </w:tr>
      <w:tr>
        <w:trPr>
          <w:trHeight w:val="756"/>
        </w:trPr>
        <w:tc>
          <w:tcPr>
            <w:tcW w:w="283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части полномочий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безопасности на гидротехнических сооружениях, обеспечени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безопасности людей на водных объектах, информирование населения в области обеспечения безопасности людей на пруду «Михайловский»</w:t>
            </w:r>
            <w:r/>
          </w:p>
        </w:tc>
        <w:tc>
          <w:tcPr>
            <w:tcW w:w="167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расходные обязательства 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6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ind w:right="-108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</w:t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,0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,0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gridSpan w:val="2"/>
            <w:tcW w:w="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429"/>
        </w:trPr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по ГРБС: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6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8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6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6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8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1046"/>
        </w:trPr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Ужурского района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140</w:t>
            </w:r>
            <w:r/>
          </w:p>
        </w:tc>
        <w:tc>
          <w:tcPr>
            <w:tcW w:w="6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0406</w:t>
            </w:r>
            <w:r/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ind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0210081110</w:t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540</w:t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510,0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510,0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510,0</w:t>
            </w:r>
            <w:r/>
          </w:p>
        </w:tc>
        <w:tc>
          <w:tcPr>
            <w:gridSpan w:val="2"/>
            <w:tcW w:w="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1530,0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Страхование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ГТС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зарплата смотрителя, содержание ГТС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пруда Михайловский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</w:t>
            </w:r>
            <w:r/>
          </w:p>
        </w:tc>
      </w:tr>
      <w:tr>
        <w:trPr>
          <w:trHeight w:val="70"/>
        </w:trPr>
        <w:tc>
          <w:tcPr>
            <w:gridSpan w:val="15"/>
            <w:tcW w:w="16160" w:type="dxa"/>
            <w:textDirection w:val="lrTb"/>
            <w:noWrap w:val="false"/>
          </w:tcPr>
          <w:p>
            <w:pPr>
              <w:pStyle w:val="749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Организация профилактической и информационно-пропагандистской работы</w:t>
            </w:r>
            <w:r/>
          </w:p>
        </w:tc>
      </w:tr>
      <w:tr>
        <w:trPr/>
        <w:tc>
          <w:tcPr>
            <w:tcW w:w="283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Изготовление и размещение рекламной продукции и проведение профилактических мероприятий по противодействию терроризма и экстремизма </w:t>
            </w:r>
            <w:r/>
          </w:p>
        </w:tc>
        <w:tc>
          <w:tcPr>
            <w:tcW w:w="167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расходные обязательства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647" w:type="dxa"/>
            <w:textDirection w:val="lrTb"/>
            <w:noWrap w:val="false"/>
          </w:tcPr>
          <w:p>
            <w:pPr>
              <w:ind w:right="-108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ind w:right="-108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</w:t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50,0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50,0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50,0</w:t>
            </w:r>
            <w:r/>
          </w:p>
        </w:tc>
        <w:tc>
          <w:tcPr>
            <w:gridSpan w:val="2"/>
            <w:tcW w:w="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150,0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566"/>
        </w:trPr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по ГРБС: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6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616"/>
        </w:trPr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Ужурского района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140</w:t>
            </w:r>
            <w:r/>
          </w:p>
        </w:tc>
        <w:tc>
          <w:tcPr>
            <w:tcW w:w="647" w:type="dxa"/>
            <w:textDirection w:val="lrTb"/>
            <w:noWrap w:val="false"/>
          </w:tcPr>
          <w:p>
            <w:pPr>
              <w:ind w:right="-108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</w:t>
            </w:r>
            <w:r/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ind w:right="-108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0210081100</w:t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244</w:t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50,0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50,0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50,0</w:t>
            </w:r>
            <w:r/>
          </w:p>
        </w:tc>
        <w:tc>
          <w:tcPr>
            <w:gridSpan w:val="2"/>
            <w:tcW w:w="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150,0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Изготовление памяток</w:t>
            </w:r>
            <w:r/>
          </w:p>
        </w:tc>
      </w:tr>
      <w:tr>
        <w:trPr>
          <w:trHeight w:val="616"/>
        </w:trPr>
        <w:tc>
          <w:tcPr>
            <w:tcW w:w="283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Распространение информационных материалов, раскрывающих террористическую сущность украинских радикальных структур </w:t>
            </w:r>
            <w:r/>
          </w:p>
        </w:tc>
        <w:tc>
          <w:tcPr>
            <w:tcW w:w="16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Ужурского района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647" w:type="dxa"/>
            <w:textDirection w:val="lrTb"/>
            <w:noWrap w:val="false"/>
          </w:tcPr>
          <w:p>
            <w:pPr>
              <w:ind w:right="-108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ind w:right="-108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требует финансирования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требует финансирования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требует финансирования</w:t>
            </w:r>
            <w:r/>
          </w:p>
        </w:tc>
        <w:tc>
          <w:tcPr>
            <w:gridSpan w:val="2"/>
            <w:tcW w:w="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требует финансирования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Размещение информационной продукции</w:t>
            </w:r>
            <w:r/>
          </w:p>
        </w:tc>
      </w:tr>
      <w:tr>
        <w:trPr/>
        <w:tc>
          <w:tcPr>
            <w:gridSpan w:val="15"/>
            <w:tcW w:w="16160" w:type="dxa"/>
            <w:textDirection w:val="lrTb"/>
            <w:noWrap w:val="false"/>
          </w:tcPr>
          <w:p>
            <w:pPr>
              <w:pStyle w:val="749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Последовательное снижение рисков чрезвычайных ситуаций,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вышение безопасности населения и защищенности критически важных объектов от угроз природного и техногенного характера, а также обеспечение необходимых условий для безопасной жизнедеятельности и устойчивого социально-экономического развития Ужурского района</w:t>
            </w:r>
            <w:r/>
          </w:p>
        </w:tc>
      </w:tr>
      <w:tr>
        <w:trPr/>
        <w:tc>
          <w:tcPr>
            <w:tcW w:w="283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подведомственных учреждений МКУ "Единой дежурной диспетчерской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службы Ужурского района" в рамках подпрограммы "Защита населения и территорий Ужурского района от чрезвычайных ситуаций природного и техногенного характера" муниципальной программы "Обеспечение безопасности жизнедеятельности населения по Ужурскому району"</w:t>
            </w:r>
            <w:r/>
          </w:p>
        </w:tc>
        <w:tc>
          <w:tcPr>
            <w:tcW w:w="167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расходные обязательства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693" w:type="dxa"/>
            <w:textDirection w:val="lrTb"/>
            <w:noWrap w:val="false"/>
          </w:tcPr>
          <w:p>
            <w:pPr>
              <w:ind w:right="-108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</w:t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3631,2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3631,2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3631,2</w:t>
            </w:r>
            <w:r/>
          </w:p>
        </w:tc>
        <w:tc>
          <w:tcPr>
            <w:gridSpan w:val="2"/>
            <w:tcW w:w="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10893,6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252"/>
        </w:trPr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по ГРБС: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281"/>
        </w:trPr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Ужурского района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140</w:t>
            </w:r>
            <w:r/>
          </w:p>
        </w:tc>
        <w:tc>
          <w:tcPr>
            <w:gridSpan w:val="2"/>
            <w:tcW w:w="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0310</w:t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0210081040</w:t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111</w:t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2686,7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2686,7 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2686,7</w:t>
            </w:r>
            <w:r/>
          </w:p>
        </w:tc>
        <w:tc>
          <w:tcPr>
            <w:gridSpan w:val="2"/>
            <w:tcW w:w="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8060,1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281"/>
        </w:trPr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112</w:t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17,6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17,6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17,6</w:t>
            </w:r>
            <w:r/>
          </w:p>
        </w:tc>
        <w:tc>
          <w:tcPr>
            <w:gridSpan w:val="2"/>
            <w:tcW w:w="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52,8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trHeight w:val="281"/>
        </w:trPr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119</w:t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811,4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811,4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811,4</w:t>
            </w:r>
            <w:r/>
          </w:p>
        </w:tc>
        <w:tc>
          <w:tcPr>
            <w:gridSpan w:val="2"/>
            <w:tcW w:w="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2434,2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trHeight w:val="60"/>
        </w:trPr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115,5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115,5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115,5</w:t>
            </w:r>
            <w:r/>
          </w:p>
        </w:tc>
        <w:tc>
          <w:tcPr>
            <w:gridSpan w:val="2"/>
            <w:tcW w:w="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346,5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2836" w:type="dxa"/>
            <w:textDirection w:val="lrTb"/>
            <w:noWrap w:val="false"/>
          </w:tcPr>
          <w:p>
            <w:pPr>
              <w:pStyle w:val="749"/>
              <w:ind w:firstLine="0"/>
              <w:rPr>
                <w:rFonts w:ascii="Times New Roman" w:hAnsi="Times New Roman" w:cs="Times New Roman"/>
                <w:sz w:val="20"/>
                <w:szCs w:val="20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астичное финансирование (возмещение расходов) на содержание единых дежурно-диспетчерских служб муниципальных образ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ований Красноярского края в рамках подпрограммы «Защита населения и территорий Ужурского района от чрезвычайных ситуаций природного и техногенного характера» муниципальной программы «Обеспечение безопасности жизнедеятельности населения по Ужурскому району»</w:t>
            </w:r>
            <w:r/>
          </w:p>
        </w:tc>
        <w:tc>
          <w:tcPr>
            <w:tcW w:w="16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Ужурского района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140</w:t>
            </w:r>
            <w:r/>
          </w:p>
        </w:tc>
        <w:tc>
          <w:tcPr>
            <w:gridSpan w:val="2"/>
            <w:tcW w:w="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0310</w:t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021000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4130</w:t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0,1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100,1</w:t>
            </w:r>
            <w:r/>
          </w:p>
        </w:tc>
        <w:tc>
          <w:tcPr>
            <w:gridSpan w:val="2"/>
            <w:tcW w:w="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,3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 финансирование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(возмещение расходов) на содержание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ЕДДС</w:t>
            </w:r>
            <w:r/>
          </w:p>
        </w:tc>
      </w:tr>
      <w:tr>
        <w:trPr>
          <w:trHeight w:val="510"/>
        </w:trPr>
        <w:tc>
          <w:tcPr>
            <w:tcW w:w="283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подведомственных учреждений Муниципальное казенное учреждение «Служба заказчика Ужурского района»</w:t>
            </w:r>
            <w:r/>
          </w:p>
        </w:tc>
        <w:tc>
          <w:tcPr>
            <w:tcW w:w="167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расходные обязательства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693" w:type="dxa"/>
            <w:textDirection w:val="lrTb"/>
            <w:noWrap w:val="false"/>
          </w:tcPr>
          <w:p>
            <w:pPr>
              <w:ind w:right="-108"/>
              <w:jc w:val="center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ind w:right="-108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</w:t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ind w:left="-108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5962,2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5962,2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5962,2</w:t>
            </w:r>
            <w:r/>
          </w:p>
        </w:tc>
        <w:tc>
          <w:tcPr>
            <w:gridSpan w:val="2"/>
            <w:tcW w:w="875" w:type="dxa"/>
            <w:textDirection w:val="lrTb"/>
            <w:noWrap w:val="false"/>
          </w:tcPr>
          <w:p>
            <w:pPr>
              <w:ind w:left="-107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17886,6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по ГРБС: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111</w:t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3842,8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3842,8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3842,8</w:t>
            </w:r>
            <w:r/>
          </w:p>
        </w:tc>
        <w:tc>
          <w:tcPr>
            <w:gridSpan w:val="2"/>
            <w:tcW w:w="875" w:type="dxa"/>
            <w:textDirection w:val="lrTb"/>
            <w:noWrap w:val="false"/>
          </w:tcPr>
          <w:p>
            <w:pPr>
              <w:ind w:left="-107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11528,3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112</w:t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5,5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5,5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5,5</w:t>
            </w:r>
            <w:r/>
          </w:p>
        </w:tc>
        <w:tc>
          <w:tcPr>
            <w:gridSpan w:val="2"/>
            <w:tcW w:w="875" w:type="dxa"/>
            <w:textDirection w:val="lrTb"/>
            <w:noWrap w:val="false"/>
          </w:tcPr>
          <w:p>
            <w:pPr>
              <w:ind w:left="-107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16,5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Ужурского района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119</w:t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ind w:left="-108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1160,5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1160,5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ind w:left="-108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1160,5</w:t>
            </w:r>
            <w:r/>
          </w:p>
        </w:tc>
        <w:tc>
          <w:tcPr>
            <w:gridSpan w:val="2"/>
            <w:tcW w:w="875" w:type="dxa"/>
            <w:textDirection w:val="lrTb"/>
            <w:noWrap w:val="false"/>
          </w:tcPr>
          <w:p>
            <w:pPr>
              <w:ind w:left="-107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3481,6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379"/>
        </w:trPr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140</w:t>
            </w:r>
            <w:r/>
          </w:p>
        </w:tc>
        <w:tc>
          <w:tcPr>
            <w:gridSpan w:val="2"/>
            <w:tcW w:w="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0113</w:t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0210081030</w:t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953,4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953,4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953,4</w:t>
            </w:r>
            <w:r/>
          </w:p>
        </w:tc>
        <w:tc>
          <w:tcPr>
            <w:gridSpan w:val="2"/>
            <w:tcW w:w="8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2860,2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303"/>
        </w:trPr>
        <w:tc>
          <w:tcPr>
            <w:tcW w:w="283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Организация мероприятий при осуществлении деятельности по обращению 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животными без владельцев в рамках подпрограммы "Защита населения и территорий Ужурского района от чрезвычайных ситуаций природного и техногенного характера" муниципальной программы "Обеспечение безопасности жизнедеятельности населения по Ужурскому району"</w:t>
            </w:r>
            <w:r/>
          </w:p>
        </w:tc>
        <w:tc>
          <w:tcPr>
            <w:tcW w:w="167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bottom w:val="single" w:color="auto" w:sz="4" w:space="0"/>
            </w:tcBorders>
            <w:tcW w:w="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139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bottom w:val="single" w:color="auto" w:sz="4" w:space="0"/>
            </w:tcBorders>
            <w:tcW w:w="72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2476,3</w:t>
            </w:r>
            <w:r/>
          </w:p>
        </w:tc>
        <w:tc>
          <w:tcPr>
            <w:tcBorders>
              <w:bottom w:val="single" w:color="auto" w:sz="4" w:space="0"/>
            </w:tcBorders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2433,3</w:t>
            </w:r>
            <w:r/>
          </w:p>
        </w:tc>
        <w:tc>
          <w:tcPr>
            <w:tcBorders>
              <w:bottom w:val="single" w:color="auto" w:sz="4" w:space="0"/>
            </w:tcBorders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2433,3</w:t>
            </w:r>
            <w:r/>
          </w:p>
        </w:tc>
        <w:tc>
          <w:tcPr>
            <w:gridSpan w:val="2"/>
            <w:tcBorders>
              <w:bottom w:val="single" w:color="auto" w:sz="4" w:space="0"/>
            </w:tcBorders>
            <w:tcW w:w="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7342,9</w:t>
            </w:r>
            <w:r/>
          </w:p>
        </w:tc>
        <w:tc>
          <w:tcPr>
            <w:tcBorders>
              <w:bottom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trHeight w:val="2787"/>
        </w:trPr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140</w:t>
            </w:r>
            <w:r/>
          </w:p>
        </w:tc>
        <w:tc>
          <w:tcPr>
            <w:gridSpan w:val="2"/>
            <w:tcBorders>
              <w:top w:val="single" w:color="auto" w:sz="4" w:space="0"/>
            </w:tcBorders>
            <w:tcW w:w="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0603</w:t>
            </w:r>
            <w:r/>
          </w:p>
        </w:tc>
        <w:tc>
          <w:tcPr>
            <w:tcBorders>
              <w:top w:val="single" w:color="auto" w:sz="4" w:space="0"/>
            </w:tcBorders>
            <w:tcW w:w="139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0210075180</w:t>
            </w:r>
            <w:r/>
          </w:p>
        </w:tc>
        <w:tc>
          <w:tcPr>
            <w:gridSpan w:val="2"/>
            <w:tcBorders>
              <w:top w:val="single" w:color="auto" w:sz="4" w:space="0"/>
            </w:tcBorders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129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2393,8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63,4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19,1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2350,8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63,4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19,1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2350,8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63,4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19,1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</w:tcBorders>
            <w:tcW w:w="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7095,4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190,2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7,3</w:t>
            </w:r>
            <w:r/>
          </w:p>
        </w:tc>
        <w:tc>
          <w:tcPr>
            <w:tcBorders>
              <w:top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тлов,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вакцинация,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стерилиз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ация, выпуск</w:t>
            </w:r>
            <w:r/>
          </w:p>
        </w:tc>
      </w:tr>
      <w:tr>
        <w:trPr/>
        <w:tc>
          <w:tcPr>
            <w:gridSpan w:val="15"/>
            <w:tcW w:w="161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Обработка мест массового отдыха населения </w:t>
            </w:r>
            <w:r/>
          </w:p>
        </w:tc>
      </w:tr>
      <w:tr>
        <w:trPr/>
        <w:tc>
          <w:tcPr>
            <w:tcW w:w="283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 по неспецифической профилактике инфекций, передающихся иксодовыми клещами, путем организации и проведения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акарицидных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обработок наиболее посещаемых населением участков территории природных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очагов клещевых инфекций в рамках подпрограммы "Защита населения и территорий Ужурского района от чрезвычайных ситуаций природного и техногенного характера" муниципальной программы "Обеспечение безопасности жизнедеятельности населения по Ужурскому району"</w:t>
            </w:r>
            <w:r/>
          </w:p>
        </w:tc>
        <w:tc>
          <w:tcPr>
            <w:tcW w:w="167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расходные обязательства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6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2"/>
            <w:tcW w:w="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по ГРБС: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6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Ужурского района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540</w:t>
            </w:r>
            <w:r/>
          </w:p>
        </w:tc>
        <w:tc>
          <w:tcPr>
            <w:tcW w:w="6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0113</w:t>
            </w:r>
            <w:r/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0210075550</w:t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500</w:t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43,7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gridSpan w:val="2"/>
            <w:tcW w:w="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43,7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г. Ужура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6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43,7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gridSpan w:val="2"/>
            <w:tcW w:w="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43,7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gridSpan w:val="8"/>
            <w:tcW w:w="949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Обеспечение первичных мер пожарной безопасности</w:t>
            </w:r>
            <w:r/>
          </w:p>
        </w:tc>
        <w:tc>
          <w:tcPr>
            <w:gridSpan w:val="7"/>
            <w:tcW w:w="66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</w:r>
            <w:r/>
          </w:p>
        </w:tc>
      </w:tr>
      <w:tr>
        <w:trPr/>
        <w:tc>
          <w:tcPr>
            <w:tcW w:w="283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первичных мер пожарной безопасности в рамках подпрограммы "Защита населения и территорий Ужурского района от чрезвычайных ситуаций природного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техногенного характера" муниципальной программы "Обеспечение безопасности жизнедеятельности населения по Ужурскому району"</w:t>
            </w:r>
            <w:r/>
          </w:p>
        </w:tc>
        <w:tc>
          <w:tcPr>
            <w:tcW w:w="167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Ужурского района</w:t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расходные обязательства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540</w:t>
            </w:r>
            <w:r/>
          </w:p>
        </w:tc>
        <w:tc>
          <w:tcPr>
            <w:tcW w:w="6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0310</w:t>
            </w:r>
            <w:r/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0210074120</w:t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500</w:t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2700,9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1620,6</w:t>
            </w:r>
            <w:r/>
          </w:p>
        </w:tc>
        <w:tc>
          <w:tcPr>
            <w:gridSpan w:val="2"/>
            <w:tcW w:w="12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1800,6</w:t>
            </w:r>
            <w:r/>
          </w:p>
        </w:tc>
        <w:tc>
          <w:tcPr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6122,1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первичных мер пожарной безопасности</w:t>
            </w:r>
            <w:r/>
          </w:p>
        </w:tc>
      </w:tr>
      <w:tr>
        <w:trPr/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по ГРБС: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6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  <w:r/>
          </w:p>
        </w:tc>
        <w:tc>
          <w:tcPr>
            <w:gridSpan w:val="2"/>
            <w:tcW w:w="12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  <w:r/>
          </w:p>
        </w:tc>
        <w:tc>
          <w:tcPr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Ужурского района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6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2700,9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1620,6</w:t>
            </w:r>
            <w:r/>
          </w:p>
        </w:tc>
        <w:tc>
          <w:tcPr>
            <w:gridSpan w:val="2"/>
            <w:tcW w:w="12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1800,6</w:t>
            </w:r>
            <w:r/>
          </w:p>
        </w:tc>
        <w:tc>
          <w:tcPr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6122,1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Васильевский сельсовет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6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19,3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11,6</w:t>
            </w:r>
            <w:r/>
          </w:p>
        </w:tc>
        <w:tc>
          <w:tcPr>
            <w:gridSpan w:val="2"/>
            <w:tcW w:w="12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12,9</w:t>
            </w:r>
            <w:r/>
          </w:p>
        </w:tc>
        <w:tc>
          <w:tcPr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43,8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Златоруновский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6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231,7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139,0</w:t>
            </w:r>
            <w:r/>
          </w:p>
        </w:tc>
        <w:tc>
          <w:tcPr>
            <w:gridSpan w:val="2"/>
            <w:tcW w:w="12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154,5</w:t>
            </w:r>
            <w:r/>
          </w:p>
        </w:tc>
        <w:tc>
          <w:tcPr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525,2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Ильинский сельсовет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6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133,8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80,3</w:t>
            </w:r>
            <w:r/>
          </w:p>
        </w:tc>
        <w:tc>
          <w:tcPr>
            <w:gridSpan w:val="2"/>
            <w:tcW w:w="12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89,2</w:t>
            </w:r>
            <w:r/>
          </w:p>
        </w:tc>
        <w:tc>
          <w:tcPr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303,3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Крутоярский сельсовет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6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515,3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309,2</w:t>
            </w:r>
            <w:r/>
          </w:p>
        </w:tc>
        <w:tc>
          <w:tcPr>
            <w:gridSpan w:val="2"/>
            <w:tcW w:w="12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343,5</w:t>
            </w:r>
            <w:r/>
          </w:p>
        </w:tc>
        <w:tc>
          <w:tcPr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1168,0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Кулунский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6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237,2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142,3</w:t>
            </w:r>
            <w:r/>
          </w:p>
        </w:tc>
        <w:tc>
          <w:tcPr>
            <w:gridSpan w:val="2"/>
            <w:tcW w:w="12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158,1</w:t>
            </w:r>
            <w:r/>
          </w:p>
        </w:tc>
        <w:tc>
          <w:tcPr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537,6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Локшинский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6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203,8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122,3</w:t>
            </w:r>
            <w:r/>
          </w:p>
        </w:tc>
        <w:tc>
          <w:tcPr>
            <w:gridSpan w:val="2"/>
            <w:tcW w:w="12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135,9</w:t>
            </w:r>
            <w:r/>
          </w:p>
        </w:tc>
        <w:tc>
          <w:tcPr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462,0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Малоимышский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6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284,7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170,8</w:t>
            </w:r>
            <w:r/>
          </w:p>
        </w:tc>
        <w:tc>
          <w:tcPr>
            <w:gridSpan w:val="2"/>
            <w:tcW w:w="12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189,8</w:t>
            </w:r>
            <w:r/>
          </w:p>
        </w:tc>
        <w:tc>
          <w:tcPr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645,3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Михайловский сельсовет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6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131,2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78,7</w:t>
            </w:r>
            <w:r/>
          </w:p>
        </w:tc>
        <w:tc>
          <w:tcPr>
            <w:gridSpan w:val="2"/>
            <w:tcW w:w="12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87,5</w:t>
            </w:r>
            <w:r/>
          </w:p>
        </w:tc>
        <w:tc>
          <w:tcPr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297,4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Озероучумский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6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156,8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94,1</w:t>
            </w:r>
            <w:r/>
          </w:p>
        </w:tc>
        <w:tc>
          <w:tcPr>
            <w:gridSpan w:val="2"/>
            <w:tcW w:w="12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104,5</w:t>
            </w:r>
            <w:r/>
          </w:p>
        </w:tc>
        <w:tc>
          <w:tcPr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355,4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Прилужский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6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145,1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87,1</w:t>
            </w:r>
            <w:r/>
          </w:p>
        </w:tc>
        <w:tc>
          <w:tcPr>
            <w:gridSpan w:val="2"/>
            <w:tcW w:w="12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96,7</w:t>
            </w:r>
            <w:r/>
          </w:p>
        </w:tc>
        <w:tc>
          <w:tcPr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328,9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Приреченский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6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224,6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134,7</w:t>
            </w:r>
            <w:r/>
          </w:p>
        </w:tc>
        <w:tc>
          <w:tcPr>
            <w:gridSpan w:val="2"/>
            <w:tcW w:w="12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</w:t>
            </w:r>
            <w:r/>
          </w:p>
        </w:tc>
        <w:tc>
          <w:tcPr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509,0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Солгонский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сельсовет</w:t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6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417,4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250,5</w:t>
            </w:r>
            <w:r/>
          </w:p>
        </w:tc>
        <w:tc>
          <w:tcPr>
            <w:gridSpan w:val="2"/>
            <w:tcW w:w="12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278,3</w:t>
            </w:r>
            <w:r/>
          </w:p>
        </w:tc>
        <w:tc>
          <w:tcPr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946,2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</w:tbl>
    <w:p>
      <w:pPr>
        <w:spacing w:after="0" w:line="240" w:lineRule="auto"/>
      </w:pPr>
      <w:r/>
      <w:r/>
    </w:p>
    <w:p>
      <w:pPr>
        <w:spacing w:after="0" w:line="240" w:lineRule="auto"/>
      </w:pPr>
      <w:r/>
      <w:r/>
    </w:p>
    <w:p>
      <w:pPr>
        <w:spacing w:after="0" w:line="240" w:lineRule="auto"/>
      </w:pPr>
      <w:r/>
      <w:r/>
    </w:p>
    <w:p>
      <w:pPr>
        <w:spacing w:after="0" w:line="240" w:lineRule="auto"/>
      </w:pPr>
      <w:r/>
      <w:r/>
    </w:p>
    <w:p>
      <w:pPr>
        <w:spacing w:after="0" w:line="240" w:lineRule="auto"/>
      </w:pPr>
      <w:r/>
      <w:r/>
    </w:p>
    <w:p>
      <w:pPr>
        <w:spacing w:after="0" w:line="240" w:lineRule="auto"/>
      </w:pPr>
      <w:r/>
      <w:r/>
    </w:p>
    <w:p>
      <w:pPr>
        <w:spacing w:after="0" w:line="240" w:lineRule="auto"/>
      </w:pPr>
      <w:r/>
      <w:r/>
    </w:p>
    <w:p>
      <w:pPr>
        <w:spacing w:after="0" w:line="240" w:lineRule="auto"/>
      </w:pPr>
      <w:r/>
      <w:r/>
    </w:p>
    <w:p>
      <w:pPr>
        <w:spacing w:after="0" w:line="240" w:lineRule="auto"/>
      </w:pPr>
      <w:r/>
      <w:r/>
    </w:p>
    <w:p>
      <w:pPr>
        <w:spacing w:after="0" w:line="240" w:lineRule="auto"/>
      </w:pPr>
      <w:r/>
      <w:r/>
    </w:p>
    <w:p>
      <w:pPr>
        <w:spacing w:after="0" w:line="240" w:lineRule="auto"/>
      </w:pPr>
      <w:r/>
      <w:r/>
    </w:p>
    <w:p>
      <w:pPr>
        <w:spacing w:after="0" w:line="240" w:lineRule="auto"/>
      </w:pPr>
      <w:r/>
      <w:r/>
    </w:p>
    <w:sectPr>
      <w:footnotePr/>
      <w:endnotePr/>
      <w:type w:val="nextPage"/>
      <w:pgSz w:w="16838" w:h="11905" w:orient="landscape"/>
      <w:pgMar w:top="851" w:right="709" w:bottom="709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Style w:val="749"/>
        <w:rPr>
          <w:rFonts w:ascii="Calibri" w:hAnsi="Calibri" w:eastAsia="Calibri" w:cs="Times New Roman"/>
        </w:rPr>
      </w:pPr>
      <w:r>
        <w:separator/>
      </w:r>
      <w:r/>
    </w:p>
  </w:endnote>
  <w:endnote w:type="continuationSeparator" w:id="0">
    <w:p>
      <w:pPr>
        <w:pStyle w:val="749"/>
        <w:rPr>
          <w:rFonts w:ascii="Calibri" w:hAnsi="Calibri" w:eastAsia="Calibri" w:cs="Times New Roman"/>
        </w:rPr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</w:font>
  <w:font w:name="Courier New">
    <w:panose1 w:val="02070309020205020404"/>
  </w:font>
  <w:font w:name="SimSun">
    <w:panose1 w:val="02010600030101010101"/>
  </w:font>
  <w:font w:name="Verdana">
    <w:panose1 w:val="020B0604030504040204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Style w:val="749"/>
        <w:rPr>
          <w:rFonts w:ascii="Calibri" w:hAnsi="Calibri" w:eastAsia="Calibri" w:cs="Times New Roman"/>
        </w:rPr>
      </w:pPr>
      <w:r>
        <w:separator/>
      </w:r>
      <w:r/>
    </w:p>
  </w:footnote>
  <w:footnote w:type="continuationSeparator" w:id="0">
    <w:p>
      <w:pPr>
        <w:pStyle w:val="749"/>
        <w:rPr>
          <w:rFonts w:ascii="Calibri" w:hAnsi="Calibri" w:eastAsia="Calibri" w:cs="Times New Roman"/>
        </w:rPr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"/>
      <w:lvlJc w:val="left"/>
      <w:pPr>
        <w:ind w:left="786" w:hanging="360"/>
        <w:tabs>
          <w:tab w:val="num" w:pos="786" w:leader="none"/>
        </w:tabs>
      </w:pPr>
      <w:rPr>
        <w:rFonts w:hint="default" w:ascii="Wingdings 3" w:hAnsi="Wingdings 3"/>
        <w:b w:val="0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435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9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18" w:hanging="576"/>
      </w:pPr>
      <w:rPr>
        <w:rFonts w:hint="default" w:ascii="Times New Roman" w:hAnsi="Times New Roman"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49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1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93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65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37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09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1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538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eastAsia="Times New Roman"/>
      </w:rPr>
    </w:lvl>
    <w:lvl w:ilvl="1">
      <w:start w:val="3"/>
      <w:numFmt w:val="decimal"/>
      <w:isLgl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30" w:hanging="720"/>
      </w:pPr>
      <w:rPr>
        <w:rFonts w:hint="default" w:ascii="Times New Roman" w:hAnsi="Times New Roman" w:cs="Times New Roman"/>
        <w:b w:val="0"/>
      </w:rPr>
    </w:lvl>
    <w:lvl w:ilvl="2">
      <w:start w:val="1"/>
      <w:numFmt w:val="decimal"/>
      <w:isLgl/>
      <w:suff w:val="tab"/>
      <w:lvlText w:val="%1.%2.%3."/>
      <w:lvlJc w:val="left"/>
      <w:pPr>
        <w:ind w:left="720" w:hanging="720"/>
      </w:pPr>
      <w:rPr>
        <w:rFonts w:hint="default" w:ascii="Calibri" w:hAnsi="Calibri" w:cs="Times New Roman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1080"/>
      </w:pPr>
      <w:rPr>
        <w:rFonts w:hint="default" w:ascii="Calibri" w:hAnsi="Calibri" w:cs="Times New Roman"/>
      </w:rPr>
    </w:lvl>
    <w:lvl w:ilvl="4">
      <w:start w:val="1"/>
      <w:numFmt w:val="decimal"/>
      <w:isLgl/>
      <w:suff w:val="tab"/>
      <w:lvlText w:val="%1.%2.%3.%4.%5."/>
      <w:lvlJc w:val="left"/>
      <w:pPr>
        <w:ind w:left="1080" w:hanging="1080"/>
      </w:pPr>
      <w:rPr>
        <w:rFonts w:hint="default" w:ascii="Calibri" w:hAnsi="Calibri" w:cs="Times New Roman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440"/>
      </w:pPr>
      <w:rPr>
        <w:rFonts w:hint="default" w:ascii="Calibri" w:hAnsi="Calibri" w:cs="Times New Roman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800"/>
      </w:pPr>
      <w:rPr>
        <w:rFonts w:hint="default" w:ascii="Calibri" w:hAnsi="Calibri" w:cs="Times New Roman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800"/>
      </w:pPr>
      <w:rPr>
        <w:rFonts w:hint="default" w:ascii="Calibri" w:hAnsi="Calibri" w:cs="Times New Roman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2160"/>
      </w:pPr>
      <w:rPr>
        <w:rFonts w:hint="default" w:ascii="Calibri" w:hAnsi="Calibri" w:cs="Times New Roman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87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459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531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603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675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747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819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891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9638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rFonts w:eastAsia="Calibri"/>
        <w:b w:val="0"/>
      </w:rPr>
    </w:lvl>
    <w:lvl w:ilvl="1">
      <w:start w:val="1"/>
      <w:numFmt w:val="decimal"/>
      <w:isLgl w:val="false"/>
      <w:suff w:val="tab"/>
      <w:lvlText w:val="%2."/>
      <w:lvlJc w:val="left"/>
      <w:pPr>
        <w:ind w:left="1543" w:hanging="360"/>
        <w:tabs>
          <w:tab w:val="num" w:pos="1543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263" w:hanging="360"/>
        <w:tabs>
          <w:tab w:val="num" w:pos="2263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983" w:hanging="360"/>
        <w:tabs>
          <w:tab w:val="num" w:pos="2983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703" w:hanging="360"/>
        <w:tabs>
          <w:tab w:val="num" w:pos="3703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423" w:hanging="360"/>
        <w:tabs>
          <w:tab w:val="num" w:pos="4423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143" w:hanging="360"/>
        <w:tabs>
          <w:tab w:val="num" w:pos="5143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863" w:hanging="360"/>
        <w:tabs>
          <w:tab w:val="num" w:pos="5863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583" w:hanging="360"/>
        <w:tabs>
          <w:tab w:val="num" w:pos="6583" w:leader="none"/>
        </w:tabs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2"/>
      <w:numFmt w:val="decimal"/>
      <w:isLgl w:val="false"/>
      <w:suff w:val="tab"/>
      <w:lvlText w:val="%1."/>
      <w:lvlJc w:val="left"/>
      <w:pPr>
        <w:ind w:left="517" w:hanging="3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20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35" w:hanging="435"/>
      </w:pPr>
    </w:lvl>
    <w:lvl w:ilvl="1">
      <w:start w:val="7"/>
      <w:numFmt w:val="decimal"/>
      <w:isLgl w:val="false"/>
      <w:suff w:val="tab"/>
      <w:lvlText w:val="%1.%2."/>
      <w:lvlJc w:val="left"/>
      <w:pPr>
        <w:ind w:left="1288" w:hanging="720"/>
      </w:pPr>
      <w:rPr>
        <w:i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558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837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1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360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639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831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24" w:hanging="216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732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20" w:hanging="420"/>
      </w:pPr>
    </w:lvl>
    <w:lvl w:ilvl="1">
      <w:start w:val="1"/>
      <w:numFmt w:val="decimal"/>
      <w:isLgl w:val="false"/>
      <w:suff w:val="tab"/>
      <w:lvlText w:val="%1.%2."/>
      <w:lvlJc w:val="left"/>
      <w:pPr>
        <w:ind w:left="2705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414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621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793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00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207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3791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5864" w:hanging="216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87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459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531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603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675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747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819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891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9638" w:hanging="180"/>
      </w:pPr>
    </w:lvl>
  </w:abstractNum>
  <w:abstractNum w:abstractNumId="2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7"/>
      <w:numFmt w:val="decimal"/>
      <w:isLgl w:val="false"/>
      <w:suff w:val="tab"/>
      <w:lvlText w:val="%1.%2."/>
      <w:lvlJc w:val="left"/>
      <w:pPr>
        <w:ind w:left="32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57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86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11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69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94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2320" w:hanging="216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4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9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070" w:hanging="360"/>
      </w:pPr>
      <w:rPr>
        <w:rFonts w:hint="default" w:ascii="Times New Roman" w:hAnsi="Times New Roman" w:cs="Times New Roman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517" w:hanging="3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1"/>
      <w:numFmt w:val="lowerLetter"/>
      <w:isLgl w:val="false"/>
      <w:suff w:val="tab"/>
      <w:lvlText w:val="%1."/>
      <w:lvlJc w:val="lef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33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26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21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29"/>
  </w:num>
  <w:num w:numId="33">
    <w:abstractNumId w:val="20"/>
  </w:num>
  <w:num w:numId="34">
    <w:abstractNumId w:val="30"/>
  </w:num>
  <w:num w:numId="35">
    <w:abstractNumId w:val="19"/>
  </w:num>
  <w:num w:numId="36">
    <w:abstractNumId w:val="8"/>
  </w:num>
  <w:num w:numId="37">
    <w:abstractNumId w:val="25"/>
  </w:num>
  <w:num w:numId="38">
    <w:abstractNumId w:val="15"/>
  </w:num>
  <w:num w:numId="39">
    <w:abstractNumId w:val="2"/>
  </w:num>
  <w:num w:numId="40">
    <w:abstractNumId w:val="18"/>
  </w:num>
  <w:num w:numId="41">
    <w:abstractNumId w:val="32"/>
  </w:num>
  <w:num w:numId="42">
    <w:abstractNumId w:val="34"/>
  </w:num>
  <w:num w:numId="43">
    <w:abstractNumId w:val="31"/>
  </w:num>
  <w:num w:numId="44">
    <w:abstractNumId w:val="12"/>
  </w:num>
  <w:num w:numId="45">
    <w:abstractNumId w:val="9"/>
  </w:num>
  <w:num w:numId="46">
    <w:abstractNumId w:val="17"/>
  </w:num>
  <w:num w:numId="47">
    <w:abstractNumId w:val="10"/>
  </w:num>
  <w:num w:numId="48">
    <w:abstractNumId w:val="33"/>
  </w:num>
  <w:num w:numId="49">
    <w:abstractNumId w:val="3"/>
  </w:num>
  <w:num w:numId="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23"/>
    <w:link w:val="721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20"/>
    <w:next w:val="72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23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20"/>
    <w:next w:val="72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23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20"/>
    <w:next w:val="72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23"/>
    <w:link w:val="1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23"/>
    <w:link w:val="722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20"/>
    <w:next w:val="72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23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20"/>
    <w:next w:val="72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23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20"/>
    <w:next w:val="72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23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20"/>
    <w:next w:val="72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23"/>
    <w:link w:val="29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23"/>
    <w:link w:val="731"/>
    <w:uiPriority w:val="10"/>
    <w:rPr>
      <w:sz w:val="48"/>
      <w:szCs w:val="48"/>
    </w:rPr>
  </w:style>
  <w:style w:type="paragraph" w:styleId="36">
    <w:name w:val="Subtitle"/>
    <w:basedOn w:val="720"/>
    <w:next w:val="72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23"/>
    <w:link w:val="36"/>
    <w:uiPriority w:val="11"/>
    <w:rPr>
      <w:sz w:val="24"/>
      <w:szCs w:val="24"/>
    </w:rPr>
  </w:style>
  <w:style w:type="paragraph" w:styleId="38">
    <w:name w:val="Quote"/>
    <w:basedOn w:val="720"/>
    <w:next w:val="72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20"/>
    <w:next w:val="72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23"/>
    <w:link w:val="730"/>
    <w:uiPriority w:val="99"/>
  </w:style>
  <w:style w:type="character" w:styleId="45">
    <w:name w:val="Footer Char"/>
    <w:basedOn w:val="723"/>
    <w:link w:val="760"/>
    <w:uiPriority w:val="99"/>
  </w:style>
  <w:style w:type="paragraph" w:styleId="46">
    <w:name w:val="Caption"/>
    <w:basedOn w:val="720"/>
    <w:next w:val="72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60"/>
    <w:uiPriority w:val="99"/>
  </w:style>
  <w:style w:type="table" w:styleId="49">
    <w:name w:val="Table Grid Light"/>
    <w:basedOn w:val="72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2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2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2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paragraph" w:styleId="178">
    <w:name w:val="endnote text"/>
    <w:basedOn w:val="72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23"/>
    <w:uiPriority w:val="99"/>
    <w:semiHidden/>
    <w:unhideWhenUsed/>
    <w:rPr>
      <w:vertAlign w:val="superscript"/>
    </w:rPr>
  </w:style>
  <w:style w:type="paragraph" w:styleId="181">
    <w:name w:val="toc 1"/>
    <w:basedOn w:val="720"/>
    <w:next w:val="72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20"/>
    <w:next w:val="72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20"/>
    <w:next w:val="72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20"/>
    <w:next w:val="72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20"/>
    <w:next w:val="72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20"/>
    <w:next w:val="72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20"/>
    <w:next w:val="72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20"/>
    <w:next w:val="72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20"/>
    <w:next w:val="72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20"/>
    <w:next w:val="720"/>
    <w:uiPriority w:val="99"/>
    <w:unhideWhenUsed/>
    <w:pPr>
      <w:spacing w:after="0" w:afterAutospacing="0"/>
    </w:pPr>
  </w:style>
  <w:style w:type="paragraph" w:styleId="720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721">
    <w:name w:val="Heading 1"/>
    <w:basedOn w:val="720"/>
    <w:next w:val="720"/>
    <w:link w:val="726"/>
    <w:uiPriority w:val="9"/>
    <w:qFormat/>
    <w:pPr>
      <w:keepLines/>
      <w:keepNext/>
      <w:spacing w:before="480" w:after="0"/>
      <w:outlineLvl w:val="0"/>
    </w:pPr>
    <w:rPr>
      <w:rFonts w:ascii="Cambria" w:hAnsi="Cambria" w:eastAsia="Times New Roman"/>
      <w:b/>
      <w:bCs/>
      <w:color w:val="365f91"/>
      <w:sz w:val="28"/>
      <w:szCs w:val="28"/>
    </w:rPr>
  </w:style>
  <w:style w:type="paragraph" w:styleId="722">
    <w:name w:val="Heading 5"/>
    <w:basedOn w:val="720"/>
    <w:next w:val="720"/>
    <w:link w:val="727"/>
    <w:semiHidden/>
    <w:unhideWhenUsed/>
    <w:qFormat/>
    <w:pPr>
      <w:jc w:val="center"/>
      <w:keepNext/>
      <w:spacing w:after="0" w:line="240" w:lineRule="auto"/>
      <w:outlineLvl w:val="4"/>
    </w:pPr>
    <w:rPr>
      <w:rFonts w:ascii="Times New Roman" w:hAnsi="Times New Roman" w:eastAsia="Times New Roman"/>
      <w:b/>
      <w:caps/>
      <w:sz w:val="48"/>
      <w:szCs w:val="20"/>
      <w:lang w:eastAsia="ru-RU"/>
    </w:rPr>
  </w:style>
  <w:style w:type="character" w:styleId="723" w:default="1">
    <w:name w:val="Default Paragraph Font"/>
    <w:uiPriority w:val="1"/>
    <w:semiHidden/>
    <w:unhideWhenUsed/>
  </w:style>
  <w:style w:type="table" w:styleId="72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5" w:default="1">
    <w:name w:val="No List"/>
    <w:uiPriority w:val="99"/>
    <w:semiHidden/>
    <w:unhideWhenUsed/>
  </w:style>
  <w:style w:type="character" w:styleId="726" w:customStyle="1">
    <w:name w:val="Заголовок 1 Знак"/>
    <w:link w:val="721"/>
    <w:uiPriority w:val="9"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727" w:customStyle="1">
    <w:name w:val="Заголовок 5 Знак"/>
    <w:link w:val="722"/>
    <w:semiHidden/>
    <w:rPr>
      <w:rFonts w:ascii="Times New Roman" w:hAnsi="Times New Roman" w:eastAsia="Times New Roman" w:cs="Times New Roman"/>
      <w:b/>
      <w:caps/>
      <w:sz w:val="48"/>
      <w:szCs w:val="20"/>
      <w:lang w:eastAsia="ru-RU"/>
    </w:rPr>
  </w:style>
  <w:style w:type="paragraph" w:styleId="728">
    <w:name w:val="Normal (Web)"/>
    <w:basedOn w:val="720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729" w:customStyle="1">
    <w:name w:val="Верхний колонтитул Знак"/>
    <w:link w:val="730"/>
    <w:uiPriority w:val="99"/>
    <w:rPr>
      <w:rFonts w:ascii="Calibri" w:hAnsi="Calibri" w:eastAsia="Times New Roman" w:cs="Times New Roman"/>
    </w:rPr>
  </w:style>
  <w:style w:type="paragraph" w:styleId="730">
    <w:name w:val="Header"/>
    <w:basedOn w:val="720"/>
    <w:link w:val="72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rFonts w:eastAsia="Times New Roman"/>
      <w:sz w:val="20"/>
      <w:szCs w:val="20"/>
    </w:rPr>
  </w:style>
  <w:style w:type="paragraph" w:styleId="731">
    <w:name w:val="Title"/>
    <w:basedOn w:val="720"/>
    <w:link w:val="732"/>
    <w:uiPriority w:val="99"/>
    <w:qFormat/>
    <w:pPr>
      <w:jc w:val="center"/>
      <w:spacing w:after="0" w:line="240" w:lineRule="auto"/>
    </w:pPr>
    <w:rPr>
      <w:rFonts w:ascii="Times New Roman" w:hAnsi="Times New Roman" w:eastAsia="Times New Roman"/>
      <w:sz w:val="28"/>
      <w:szCs w:val="20"/>
      <w:lang w:eastAsia="ru-RU"/>
    </w:rPr>
  </w:style>
  <w:style w:type="character" w:styleId="732" w:customStyle="1">
    <w:name w:val="Заголовок Знак"/>
    <w:link w:val="731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33">
    <w:name w:val="Body Text Indent"/>
    <w:basedOn w:val="720"/>
    <w:link w:val="734"/>
    <w:uiPriority w:val="99"/>
    <w:unhideWhenUsed/>
    <w:pPr>
      <w:ind w:firstLine="426"/>
      <w:spacing w:after="0" w:line="240" w:lineRule="auto"/>
    </w:pPr>
    <w:rPr>
      <w:rFonts w:ascii="Times New Roman" w:hAnsi="Times New Roman" w:eastAsia="Times New Roman"/>
      <w:sz w:val="24"/>
      <w:szCs w:val="20"/>
      <w:lang w:eastAsia="ar-SA"/>
    </w:rPr>
  </w:style>
  <w:style w:type="character" w:styleId="734" w:customStyle="1">
    <w:name w:val="Основной текст с отступом Знак"/>
    <w:link w:val="733"/>
    <w:uiPriority w:val="99"/>
    <w:rPr>
      <w:rFonts w:ascii="Times New Roman" w:hAnsi="Times New Roman" w:eastAsia="Times New Roman" w:cs="Times New Roman"/>
      <w:sz w:val="24"/>
      <w:szCs w:val="20"/>
      <w:lang w:eastAsia="ar-SA"/>
    </w:rPr>
  </w:style>
  <w:style w:type="paragraph" w:styleId="735">
    <w:name w:val="Body Text 2"/>
    <w:basedOn w:val="720"/>
    <w:link w:val="736"/>
    <w:uiPriority w:val="99"/>
    <w:unhideWhenUsed/>
    <w:pPr>
      <w:spacing w:after="120" w:line="480" w:lineRule="auto"/>
    </w:pPr>
    <w:rPr>
      <w:sz w:val="20"/>
      <w:szCs w:val="20"/>
    </w:rPr>
  </w:style>
  <w:style w:type="character" w:styleId="736" w:customStyle="1">
    <w:name w:val="Основной текст 2 Знак"/>
    <w:link w:val="735"/>
    <w:uiPriority w:val="99"/>
    <w:rPr>
      <w:rFonts w:ascii="Calibri" w:hAnsi="Calibri" w:eastAsia="Calibri" w:cs="Times New Roman"/>
    </w:rPr>
  </w:style>
  <w:style w:type="paragraph" w:styleId="737">
    <w:name w:val="Body Text Indent 2"/>
    <w:basedOn w:val="720"/>
    <w:link w:val="738"/>
    <w:uiPriority w:val="99"/>
    <w:semiHidden/>
    <w:unhideWhenUsed/>
    <w:pPr>
      <w:ind w:left="283"/>
      <w:spacing w:after="120" w:line="480" w:lineRule="auto"/>
    </w:pPr>
    <w:rPr>
      <w:sz w:val="20"/>
      <w:szCs w:val="20"/>
    </w:rPr>
  </w:style>
  <w:style w:type="character" w:styleId="738" w:customStyle="1">
    <w:name w:val="Основной текст с отступом 2 Знак"/>
    <w:link w:val="737"/>
    <w:uiPriority w:val="99"/>
    <w:semiHidden/>
    <w:rPr>
      <w:rFonts w:ascii="Calibri" w:hAnsi="Calibri" w:eastAsia="Calibri" w:cs="Times New Roman"/>
    </w:rPr>
  </w:style>
  <w:style w:type="paragraph" w:styleId="739">
    <w:name w:val="Body Text Indent 3"/>
    <w:basedOn w:val="720"/>
    <w:link w:val="740"/>
    <w:uiPriority w:val="99"/>
    <w:semiHidden/>
    <w:unhideWhenUsed/>
    <w:pPr>
      <w:ind w:left="283"/>
      <w:spacing w:after="120"/>
    </w:pPr>
    <w:rPr>
      <w:sz w:val="16"/>
      <w:szCs w:val="16"/>
    </w:rPr>
  </w:style>
  <w:style w:type="character" w:styleId="740" w:customStyle="1">
    <w:name w:val="Основной текст с отступом 3 Знак"/>
    <w:link w:val="739"/>
    <w:uiPriority w:val="99"/>
    <w:semiHidden/>
    <w:rPr>
      <w:rFonts w:ascii="Calibri" w:hAnsi="Calibri" w:eastAsia="Calibri" w:cs="Times New Roman"/>
      <w:sz w:val="16"/>
      <w:szCs w:val="16"/>
    </w:rPr>
  </w:style>
  <w:style w:type="character" w:styleId="741" w:customStyle="1">
    <w:name w:val="Схема документа Знак"/>
    <w:link w:val="742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742">
    <w:name w:val="Document Map"/>
    <w:basedOn w:val="720"/>
    <w:link w:val="741"/>
    <w:uiPriority w:val="99"/>
    <w:semiHidden/>
    <w:unhideWhenUsed/>
    <w:pPr>
      <w:jc w:val="both"/>
      <w:spacing w:after="0" w:line="240" w:lineRule="auto"/>
    </w:pPr>
    <w:rPr>
      <w:rFonts w:ascii="Tahoma" w:hAnsi="Tahoma" w:eastAsia="Times New Roman"/>
      <w:sz w:val="16"/>
      <w:szCs w:val="16"/>
      <w:lang w:eastAsia="ru-RU"/>
    </w:rPr>
  </w:style>
  <w:style w:type="paragraph" w:styleId="743">
    <w:name w:val="Balloon Text"/>
    <w:basedOn w:val="720"/>
    <w:link w:val="744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styleId="744" w:customStyle="1">
    <w:name w:val="Текст выноски Знак"/>
    <w:link w:val="743"/>
    <w:uiPriority w:val="99"/>
    <w:semiHidden/>
    <w:rPr>
      <w:rFonts w:ascii="Tahoma" w:hAnsi="Tahoma" w:eastAsia="Calibri" w:cs="Tahoma"/>
      <w:sz w:val="16"/>
      <w:szCs w:val="16"/>
    </w:rPr>
  </w:style>
  <w:style w:type="character" w:styleId="745" w:customStyle="1">
    <w:name w:val="Абзац списка Знак"/>
    <w:link w:val="746"/>
    <w:uiPriority w:val="99"/>
    <w:rPr>
      <w:rFonts w:ascii="Times New Roman" w:hAnsi="Times New Roman" w:eastAsia="Times New Roman" w:cs="Times New Roman"/>
      <w:sz w:val="24"/>
      <w:szCs w:val="24"/>
    </w:rPr>
  </w:style>
  <w:style w:type="paragraph" w:styleId="746">
    <w:name w:val="List Paragraph"/>
    <w:basedOn w:val="720"/>
    <w:link w:val="745"/>
    <w:uiPriority w:val="99"/>
    <w:qFormat/>
    <w:pPr>
      <w:contextualSpacing/>
      <w:ind w:left="720"/>
      <w:spacing w:after="0" w:line="240" w:lineRule="auto"/>
    </w:pPr>
    <w:rPr>
      <w:rFonts w:ascii="Times New Roman" w:hAnsi="Times New Roman" w:eastAsia="Times New Roman"/>
      <w:sz w:val="24"/>
      <w:szCs w:val="24"/>
    </w:rPr>
  </w:style>
  <w:style w:type="paragraph" w:styleId="747" w:customStyle="1">
    <w:name w:val="Знак Знак Знак Знак Знак Знак Знак Знак Знак Знак Знак Знак"/>
    <w:basedOn w:val="720"/>
    <w:uiPriority w:val="99"/>
    <w:pPr>
      <w:jc w:val="both"/>
      <w:spacing w:after="0" w:line="360" w:lineRule="atLeast"/>
      <w:widowControl w:val="off"/>
    </w:pPr>
    <w:rPr>
      <w:rFonts w:ascii="Verdana" w:hAnsi="Verdana" w:eastAsia="Times New Roman" w:cs="Verdana"/>
      <w:sz w:val="20"/>
      <w:szCs w:val="20"/>
      <w:lang w:val="en-US"/>
    </w:rPr>
  </w:style>
  <w:style w:type="character" w:styleId="748" w:customStyle="1">
    <w:name w:val="ConsPlusNormal Знак"/>
    <w:link w:val="749"/>
    <w:rPr>
      <w:rFonts w:ascii="Arial" w:hAnsi="Arial" w:eastAsia="Times New Roman" w:cs="Arial"/>
      <w:sz w:val="22"/>
      <w:szCs w:val="22"/>
      <w:lang w:val="ru-RU" w:eastAsia="en-US" w:bidi="ar-SA"/>
    </w:rPr>
  </w:style>
  <w:style w:type="paragraph" w:styleId="749" w:customStyle="1">
    <w:name w:val="ConsPlusNormal"/>
    <w:link w:val="748"/>
    <w:pPr>
      <w:ind w:firstLine="720"/>
    </w:pPr>
    <w:rPr>
      <w:rFonts w:ascii="Arial" w:hAnsi="Arial" w:eastAsia="Times New Roman" w:cs="Arial"/>
      <w:sz w:val="22"/>
      <w:szCs w:val="22"/>
      <w:lang w:eastAsia="en-US"/>
    </w:rPr>
  </w:style>
  <w:style w:type="paragraph" w:styleId="750" w:customStyle="1">
    <w:name w:val="ConsPlusCell"/>
    <w:uiPriority w:val="99"/>
    <w:pPr>
      <w:widowControl w:val="off"/>
    </w:pPr>
    <w:rPr>
      <w:rFonts w:ascii="Times New Roman" w:hAnsi="Times New Roman" w:eastAsia="Times New Roman"/>
      <w:sz w:val="24"/>
      <w:szCs w:val="24"/>
    </w:rPr>
  </w:style>
  <w:style w:type="character" w:styleId="751" w:customStyle="1">
    <w:name w:val="Основной текст_"/>
    <w:link w:val="752"/>
    <w:rPr>
      <w:rFonts w:ascii="Times New Roman" w:hAnsi="Times New Roman" w:eastAsia="Times New Roman" w:cs="Times New Roman"/>
      <w:sz w:val="27"/>
      <w:szCs w:val="27"/>
      <w:shd w:val="clear" w:color="auto" w:fill="ffffff"/>
    </w:rPr>
  </w:style>
  <w:style w:type="paragraph" w:styleId="752" w:customStyle="1">
    <w:name w:val="Основной текст1"/>
    <w:basedOn w:val="720"/>
    <w:link w:val="751"/>
    <w:pPr>
      <w:spacing w:after="420" w:line="0" w:lineRule="atLeast"/>
      <w:shd w:val="clear" w:color="auto" w:fill="ffffff"/>
    </w:pPr>
    <w:rPr>
      <w:rFonts w:ascii="Times New Roman" w:hAnsi="Times New Roman" w:eastAsia="Times New Roman"/>
      <w:sz w:val="27"/>
      <w:szCs w:val="27"/>
    </w:rPr>
  </w:style>
  <w:style w:type="paragraph" w:styleId="753" w:customStyle="1">
    <w:name w:val="ConsPlusTitle"/>
    <w:uiPriority w:val="99"/>
    <w:pPr>
      <w:spacing w:line="100" w:lineRule="atLeast"/>
      <w:widowControl w:val="off"/>
    </w:pPr>
    <w:rPr>
      <w:rFonts w:eastAsia="SimSun"/>
      <w:b/>
      <w:bCs/>
      <w:sz w:val="22"/>
      <w:szCs w:val="22"/>
      <w:lang w:eastAsia="ar-SA"/>
    </w:rPr>
  </w:style>
  <w:style w:type="paragraph" w:styleId="754" w:customStyle="1">
    <w:name w:val="Стиль"/>
    <w:uiPriority w:val="99"/>
    <w:pPr>
      <w:jc w:val="both"/>
      <w:widowControl w:val="off"/>
    </w:pPr>
    <w:rPr>
      <w:rFonts w:ascii="Times New Roman" w:hAnsi="Times New Roman" w:eastAsia="Times New Roman"/>
      <w:szCs w:val="24"/>
    </w:rPr>
  </w:style>
  <w:style w:type="paragraph" w:styleId="755" w:customStyle="1">
    <w:name w:val="ConsNonformat"/>
    <w:uiPriority w:val="99"/>
    <w:pPr>
      <w:widowControl w:val="off"/>
    </w:pPr>
    <w:rPr>
      <w:rFonts w:ascii="Courier New" w:hAnsi="Courier New" w:eastAsia="Times New Roman"/>
    </w:rPr>
  </w:style>
  <w:style w:type="character" w:styleId="756" w:customStyle="1">
    <w:name w:val="Основной текст + Полужирный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0"/>
      <w:sz w:val="23"/>
      <w:szCs w:val="23"/>
      <w:u w:val="none"/>
      <w:shd w:val="clear" w:color="auto" w:fill="ffffff"/>
    </w:rPr>
  </w:style>
  <w:style w:type="character" w:styleId="757" w:customStyle="1">
    <w:name w:val="Основной текст + 9 pt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0"/>
      <w:sz w:val="18"/>
      <w:szCs w:val="18"/>
      <w:u w:val="none"/>
      <w:shd w:val="clear" w:color="auto" w:fill="ffffff"/>
    </w:rPr>
  </w:style>
  <w:style w:type="character" w:styleId="758">
    <w:name w:val="Strong"/>
    <w:uiPriority w:val="22"/>
    <w:qFormat/>
    <w:rPr>
      <w:b/>
      <w:bCs/>
    </w:rPr>
  </w:style>
  <w:style w:type="character" w:styleId="759">
    <w:name w:val="Hyperlink"/>
    <w:uiPriority w:val="99"/>
    <w:semiHidden/>
    <w:unhideWhenUsed/>
    <w:rPr>
      <w:color w:val="0000ff"/>
      <w:u w:val="single"/>
    </w:rPr>
  </w:style>
  <w:style w:type="paragraph" w:styleId="760">
    <w:name w:val="Footer"/>
    <w:basedOn w:val="720"/>
    <w:link w:val="76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sz w:val="20"/>
      <w:szCs w:val="20"/>
    </w:rPr>
  </w:style>
  <w:style w:type="character" w:styleId="761" w:customStyle="1">
    <w:name w:val="Нижний колонтитул Знак"/>
    <w:link w:val="760"/>
    <w:uiPriority w:val="99"/>
    <w:rPr>
      <w:rFonts w:ascii="Calibri" w:hAnsi="Calibri" w:eastAsia="Calibri" w:cs="Times New Roman"/>
    </w:rPr>
  </w:style>
  <w:style w:type="paragraph" w:styleId="762">
    <w:name w:val="Body Text"/>
    <w:basedOn w:val="720"/>
    <w:link w:val="763"/>
    <w:uiPriority w:val="99"/>
    <w:semiHidden/>
    <w:unhideWhenUsed/>
    <w:pPr>
      <w:spacing w:after="120"/>
    </w:pPr>
  </w:style>
  <w:style w:type="character" w:styleId="763" w:customStyle="1">
    <w:name w:val="Основной текст Знак"/>
    <w:basedOn w:val="723"/>
    <w:link w:val="762"/>
    <w:semiHidden/>
    <w:rPr>
      <w:sz w:val="22"/>
      <w:szCs w:val="22"/>
      <w:lang w:eastAsia="en-US"/>
    </w:rPr>
  </w:style>
  <w:style w:type="paragraph" w:styleId="764">
    <w:name w:val="No Spacing"/>
    <w:uiPriority w:val="1"/>
    <w:qFormat/>
    <w:rPr>
      <w:sz w:val="22"/>
      <w:szCs w:val="22"/>
      <w:lang w:eastAsia="en-US"/>
    </w:rPr>
  </w:style>
  <w:style w:type="character" w:styleId="765">
    <w:name w:val="footnote reference"/>
    <w:uiPriority w:val="99"/>
    <w:semiHidden/>
    <w:unhideWhenUsed/>
    <w:rPr>
      <w:vertAlign w:val="superscript"/>
    </w:rPr>
  </w:style>
  <w:style w:type="table" w:styleId="766">
    <w:name w:val="Table Grid"/>
    <w:basedOn w:val="724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A11EA-8FA4-4B6A-8903-DC6A2EEB3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Шамиль</dc:creator>
  <cp:revision>6</cp:revision>
  <dcterms:created xsi:type="dcterms:W3CDTF">2023-05-24T02:58:00Z</dcterms:created>
  <dcterms:modified xsi:type="dcterms:W3CDTF">2023-05-24T08:10:37Z</dcterms:modified>
</cp:coreProperties>
</file>