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896FA" w14:textId="77777777" w:rsidR="00C547CB" w:rsidRDefault="00BA4381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F17EBE" wp14:editId="69980F32">
            <wp:extent cx="561975" cy="676275"/>
            <wp:effectExtent l="0" t="0" r="9525" b="9525"/>
            <wp:docPr id="1" name="Рисунок 2" descr="Герб кон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он [Converted]"/>
                    <pic:cNvPicPr>
                      <a:picLocks noChangeAspect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0" contrast="80000"/>
                    </a:blip>
                    <a:srcRect t="31250" r="14055"/>
                    <a:stretch/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54D8C6" w14:textId="77777777" w:rsidR="00C547CB" w:rsidRDefault="00BA43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УЖУРСКОГО РАЙОНА</w:t>
      </w:r>
    </w:p>
    <w:p w14:paraId="3E0D099C" w14:textId="77777777" w:rsidR="00C547CB" w:rsidRDefault="00BA438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14:paraId="15366BCF" w14:textId="77777777" w:rsidR="00C547CB" w:rsidRDefault="00BA4381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ПОСТАНОВЛЕНИЕ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C547CB" w14:paraId="600E8006" w14:textId="77777777">
        <w:trPr>
          <w:trHeight w:val="796"/>
        </w:trPr>
        <w:tc>
          <w:tcPr>
            <w:tcW w:w="928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63D29846" w14:textId="77777777" w:rsidR="00C547CB" w:rsidRDefault="00BA4381">
            <w:pPr>
              <w:widowControl w:val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15.01.2024                                        г. Ужур                                               № 20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071"/>
            </w:tblGrid>
            <w:tr w:rsidR="00C547CB" w14:paraId="2D6EABD5" w14:textId="77777777">
              <w:trPr>
                <w:trHeight w:val="796"/>
              </w:trPr>
              <w:tc>
                <w:tcPr>
                  <w:tcW w:w="9287" w:type="dxa"/>
                  <w:tcBorders>
                    <w:top w:val="none" w:sz="4" w:space="0" w:color="000000"/>
                    <w:left w:val="none" w:sz="4" w:space="0" w:color="000000"/>
                    <w:bottom w:val="none" w:sz="4" w:space="0" w:color="000000"/>
                    <w:right w:val="none" w:sz="4" w:space="0" w:color="000000"/>
                  </w:tcBorders>
                  <w:shd w:val="clear" w:color="auto" w:fill="auto"/>
                </w:tcPr>
                <w:p w14:paraId="2128987D" w14:textId="77777777" w:rsidR="00C547CB" w:rsidRDefault="00BA4381">
                  <w:pPr>
                    <w:tabs>
                      <w:tab w:val="left" w:pos="327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 внесении изменений в постановление 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Ужурского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района от 12.12.2022 № 887 «Об утверждении перечня главных администраторов доходов районного бюджета» </w:t>
                  </w:r>
                </w:p>
              </w:tc>
            </w:tr>
          </w:tbl>
          <w:p w14:paraId="09C2DB9B" w14:textId="77777777" w:rsidR="00C547CB" w:rsidRDefault="00BA4381">
            <w:pPr>
              <w:pStyle w:val="af9"/>
              <w:tabs>
                <w:tab w:val="left" w:pos="657"/>
              </w:tabs>
              <w:jc w:val="both"/>
              <w:rPr>
                <w:sz w:val="28"/>
                <w:szCs w:val="28"/>
              </w:rPr>
            </w:pPr>
            <w:r>
              <w:t xml:space="preserve">           </w:t>
            </w:r>
            <w:r>
              <w:rPr>
                <w:sz w:val="28"/>
                <w:szCs w:val="28"/>
              </w:rPr>
              <w:t xml:space="preserve">В соответствии с </w:t>
            </w:r>
            <w:hyperlink r:id="rId9" w:tooltip="consultantplus://offline/ref=9B0D2DA33562783D1EBFDFBA55FEE80DF2E7C8194F95F550831FF9DA58AA5D6F68735C2D4032ICz8E" w:history="1">
              <w:r>
                <w:rPr>
                  <w:sz w:val="28"/>
                  <w:szCs w:val="28"/>
                </w:rPr>
                <w:t>пунктом 3.2 статьи 160.1</w:t>
              </w:r>
            </w:hyperlink>
            <w:r>
              <w:rPr>
                <w:sz w:val="28"/>
                <w:szCs w:val="28"/>
              </w:rPr>
              <w:t xml:space="preserve"> Бюджетного кодекса Российской Федерации, постановле</w:t>
            </w:r>
            <w:r>
              <w:rPr>
                <w:sz w:val="28"/>
                <w:szCs w:val="28"/>
              </w:rPr>
              <w:t xml:space="preserve">нием Правительства Российской Федерации от 16.09.2021 № 1569 «Об утверждении общих требований </w:t>
            </w:r>
            <w:r>
              <w:rPr>
                <w:sz w:val="28"/>
                <w:szCs w:val="28"/>
              </w:rPr>
              <w:br/>
              <w:t>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</w:t>
            </w:r>
            <w:r>
              <w:rPr>
                <w:sz w:val="28"/>
                <w:szCs w:val="28"/>
              </w:rPr>
              <w:t xml:space="preserve">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</w:t>
            </w:r>
            <w:r>
              <w:rPr>
                <w:sz w:val="28"/>
                <w:szCs w:val="28"/>
              </w:rPr>
              <w:br/>
              <w:t>Российской Федерации, бюджета терр</w:t>
            </w:r>
            <w:r>
              <w:rPr>
                <w:sz w:val="28"/>
                <w:szCs w:val="28"/>
              </w:rPr>
              <w:t xml:space="preserve">иториального фонда обязательного медицинского страхования, местного бюджета», статьей 9 Решения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районного Совета депутатов от 18.09.2013 № 41-285р «О бюджетном процессе в </w:t>
            </w:r>
            <w:proofErr w:type="spellStart"/>
            <w:r>
              <w:rPr>
                <w:sz w:val="28"/>
                <w:szCs w:val="28"/>
              </w:rPr>
              <w:t>Ужурском</w:t>
            </w:r>
            <w:proofErr w:type="spellEnd"/>
            <w:r>
              <w:rPr>
                <w:sz w:val="28"/>
                <w:szCs w:val="28"/>
              </w:rPr>
              <w:t xml:space="preserve"> районе», руководствуясь Уставом </w:t>
            </w:r>
            <w:proofErr w:type="spellStart"/>
            <w:r>
              <w:rPr>
                <w:sz w:val="28"/>
                <w:szCs w:val="28"/>
              </w:rPr>
              <w:t>Ужурского</w:t>
            </w:r>
            <w:proofErr w:type="spellEnd"/>
            <w:r>
              <w:rPr>
                <w:sz w:val="28"/>
                <w:szCs w:val="28"/>
              </w:rPr>
              <w:t xml:space="preserve"> района Красноярского кра</w:t>
            </w:r>
            <w:r>
              <w:rPr>
                <w:sz w:val="28"/>
                <w:szCs w:val="28"/>
              </w:rPr>
              <w:t>я, ПОСТАНОВЛЯЮ:</w:t>
            </w:r>
          </w:p>
          <w:p w14:paraId="136F78E4" w14:textId="77777777" w:rsidR="00C547CB" w:rsidRDefault="00BA4381">
            <w:pPr>
              <w:pStyle w:val="af9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1. Приложение к постановлению от 12.12.2022 № 887 «Об утверждении перечня главных администраторов доходов районного бюджета» изложить в новой редакции согласно приложению.</w:t>
            </w:r>
          </w:p>
          <w:p w14:paraId="367D836B" w14:textId="77777777" w:rsidR="00C547CB" w:rsidRDefault="00BA4381">
            <w:pPr>
              <w:pStyle w:val="af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Контроль за исполнением постановления возложить</w:t>
            </w:r>
            <w:r>
              <w:rPr>
                <w:sz w:val="28"/>
                <w:szCs w:val="28"/>
              </w:rPr>
              <w:t xml:space="preserve"> на руководителя финансового управления Винтер Наталью Артуровну.</w:t>
            </w:r>
          </w:p>
          <w:p w14:paraId="08276961" w14:textId="77777777" w:rsidR="00C547CB" w:rsidRDefault="00BA4381">
            <w:pPr>
              <w:pStyle w:val="af9"/>
              <w:jc w:val="both"/>
            </w:pPr>
            <w:r>
              <w:rPr>
                <w:sz w:val="28"/>
                <w:szCs w:val="28"/>
              </w:rPr>
              <w:t xml:space="preserve">         3. Постановление вступает в силу в день, следующий за днем </w:t>
            </w:r>
            <w:r>
              <w:rPr>
                <w:sz w:val="28"/>
                <w:szCs w:val="28"/>
              </w:rPr>
              <w:br/>
              <w:t>его официального опубликования в специальном выпуске газеты</w:t>
            </w:r>
            <w:r>
              <w:t xml:space="preserve"> </w:t>
            </w:r>
            <w:r>
              <w:rPr>
                <w:sz w:val="28"/>
                <w:szCs w:val="28"/>
              </w:rPr>
              <w:t>«Сибирский хлебороб», и применяется к правоотношениям, возникающим с 01 января 2024 года.</w:t>
            </w:r>
            <w:r>
              <w:t xml:space="preserve">                              </w:t>
            </w:r>
          </w:p>
          <w:p w14:paraId="6B0268FB" w14:textId="77777777" w:rsidR="00C547CB" w:rsidRDefault="00C547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824E9B" w14:textId="77777777" w:rsidR="00C547CB" w:rsidRDefault="00BA438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о. главы района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Ю.П.Казанцев</w:t>
            </w:r>
            <w:proofErr w:type="spellEnd"/>
          </w:p>
        </w:tc>
      </w:tr>
    </w:tbl>
    <w:p w14:paraId="27525FB7" w14:textId="77777777" w:rsidR="00C547CB" w:rsidRDefault="00C547CB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2EBAC9" w14:textId="77777777" w:rsidR="00C547CB" w:rsidRDefault="00C547CB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C0798E" w14:textId="77777777" w:rsidR="00C547CB" w:rsidRDefault="00C547CB">
      <w:pPr>
        <w:tabs>
          <w:tab w:val="left" w:pos="69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3E978" w14:textId="77777777" w:rsidR="00C547CB" w:rsidRDefault="00BA4381">
      <w:pPr>
        <w:tabs>
          <w:tab w:val="left" w:pos="6266"/>
        </w:tabs>
      </w:pPr>
      <w:r>
        <w:tab/>
      </w:r>
    </w:p>
    <w:p w14:paraId="412072DE" w14:textId="77777777" w:rsidR="00C547CB" w:rsidRDefault="00BA4381">
      <w:pPr>
        <w:tabs>
          <w:tab w:val="left" w:pos="6266"/>
        </w:tabs>
        <w:sectPr w:rsidR="00C547C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lastRenderedPageBreak/>
        <w:tab/>
      </w:r>
    </w:p>
    <w:tbl>
      <w:tblPr>
        <w:tblW w:w="16301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709"/>
        <w:gridCol w:w="603"/>
        <w:gridCol w:w="106"/>
        <w:gridCol w:w="2686"/>
        <w:gridCol w:w="7"/>
        <w:gridCol w:w="9"/>
        <w:gridCol w:w="16"/>
        <w:gridCol w:w="1600"/>
        <w:gridCol w:w="9380"/>
        <w:gridCol w:w="1185"/>
      </w:tblGrid>
      <w:tr w:rsidR="00C547CB" w14:paraId="4B58723D" w14:textId="77777777">
        <w:trPr>
          <w:gridAfter w:val="1"/>
          <w:wAfter w:w="1185" w:type="dxa"/>
          <w:trHeight w:val="37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4E38A10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834525D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A48AFBA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218A2274" w14:textId="77777777" w:rsidR="00C547CB" w:rsidRDefault="00BA4381">
            <w:pPr>
              <w:pStyle w:val="af9"/>
            </w:pPr>
            <w:r>
              <w:t xml:space="preserve">                                                                Приложение                                                             </w:t>
            </w:r>
          </w:p>
        </w:tc>
      </w:tr>
      <w:tr w:rsidR="00C547CB" w14:paraId="71927800" w14:textId="77777777">
        <w:trPr>
          <w:gridAfter w:val="1"/>
          <w:wAfter w:w="1185" w:type="dxa"/>
          <w:trHeight w:val="301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B236D8C" w14:textId="77777777" w:rsidR="00C547CB" w:rsidRDefault="00C547CB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92E501A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40C3D0C8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14:paraId="332D729B" w14:textId="77777777" w:rsidR="00C547CB" w:rsidRDefault="00BA4381">
            <w:pPr>
              <w:pStyle w:val="af9"/>
            </w:pPr>
            <w:r>
              <w:t xml:space="preserve">                                                                к постановлению администрации                                                             </w:t>
            </w:r>
          </w:p>
        </w:tc>
      </w:tr>
      <w:tr w:rsidR="00C547CB" w14:paraId="2EB8AD4B" w14:textId="77777777">
        <w:trPr>
          <w:gridAfter w:val="1"/>
          <w:wAfter w:w="1185" w:type="dxa"/>
          <w:trHeight w:val="495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1B129415" w14:textId="77777777" w:rsidR="00C547CB" w:rsidRDefault="00C547CB">
            <w:pPr>
              <w:spacing w:after="0" w:line="240" w:lineRule="auto"/>
              <w:ind w:firstLine="78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2C7BBAD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377B1B7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14:paraId="11E99977" w14:textId="77777777" w:rsidR="00C547CB" w:rsidRDefault="00BA4381">
            <w:pPr>
              <w:pStyle w:val="af9"/>
            </w:pPr>
            <w:r>
              <w:t xml:space="preserve">                                                                </w:t>
            </w:r>
            <w:proofErr w:type="spellStart"/>
            <w:r>
              <w:t>Ужурского</w:t>
            </w:r>
            <w:proofErr w:type="spellEnd"/>
            <w:r>
              <w:t xml:space="preserve"> района Красноярского края                                                                   </w:t>
            </w:r>
          </w:p>
          <w:p w14:paraId="49B137DB" w14:textId="77777777" w:rsidR="00C547CB" w:rsidRDefault="00BA4381">
            <w:pPr>
              <w:pStyle w:val="af9"/>
            </w:pPr>
            <w:r>
              <w:t xml:space="preserve">                                                                от 15.01.2024 № 20       </w:t>
            </w:r>
            <w:r>
              <w:t xml:space="preserve">                              </w:t>
            </w:r>
          </w:p>
        </w:tc>
      </w:tr>
      <w:tr w:rsidR="00C547CB" w14:paraId="1F46FE53" w14:textId="77777777">
        <w:trPr>
          <w:trHeight w:val="375"/>
        </w:trPr>
        <w:tc>
          <w:tcPr>
            <w:tcW w:w="16301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7DDCDC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главных администраторов доходов районного бюджета</w:t>
            </w:r>
          </w:p>
          <w:p w14:paraId="1D108EE7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47CB" w14:paraId="5B898F10" w14:textId="77777777">
        <w:trPr>
          <w:trHeight w:val="112"/>
        </w:trPr>
        <w:tc>
          <w:tcPr>
            <w:tcW w:w="70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019777CB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2ADB5EB8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CCD869F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vAlign w:val="bottom"/>
          </w:tcPr>
          <w:p w14:paraId="33B25592" w14:textId="77777777" w:rsidR="00C547CB" w:rsidRDefault="00C547CB">
            <w:pPr>
              <w:tabs>
                <w:tab w:val="left" w:pos="10927"/>
              </w:tabs>
              <w:spacing w:after="0" w:line="240" w:lineRule="auto"/>
              <w:ind w:hanging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547CB" w14:paraId="61D9CF4D" w14:textId="77777777">
        <w:trPr>
          <w:trHeight w:val="1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4E8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B523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главного администратора доходов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E7C5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(подвида) доходов бюджета</w:t>
            </w:r>
          </w:p>
        </w:tc>
        <w:tc>
          <w:tcPr>
            <w:tcW w:w="12190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43C4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кода вида (подвида) доходов бюджета</w:t>
            </w:r>
          </w:p>
        </w:tc>
      </w:tr>
      <w:tr w:rsidR="00C547CB" w14:paraId="2A9CC2F7" w14:textId="77777777">
        <w:trPr>
          <w:trHeight w:val="3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2B6C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E4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259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9541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547CB" w14:paraId="4D33291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03CD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5A1BE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EC6D8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делами Губернатора и Правительства Красноярского края</w:t>
            </w:r>
          </w:p>
        </w:tc>
      </w:tr>
      <w:tr w:rsidR="00C547CB" w14:paraId="0F4A916C" w14:textId="77777777">
        <w:trPr>
          <w:trHeight w:val="82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342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CCF19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C3E5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44D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547CB" w14:paraId="38AE473D" w14:textId="77777777">
        <w:trPr>
          <w:trHeight w:val="111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9A16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16C4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35E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2A1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0D14D0E6" w14:textId="77777777">
        <w:trPr>
          <w:trHeight w:val="8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FC05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B165A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6628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D11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547CB" w14:paraId="64393C6B" w14:textId="77777777">
        <w:trPr>
          <w:trHeight w:val="113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9EB8D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26975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84F6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AECB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ативные штрафы, установленные главой 12 Кодекса Российской Федерации об административных правонарушениях, за административные правонарушения в области дорожного движения, налагаемые мировыми судьями, комиссиями по делам несовершеннолетних и защите их прав </w:t>
            </w:r>
          </w:p>
        </w:tc>
      </w:tr>
      <w:tr w:rsidR="00C547CB" w14:paraId="3AA342E3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CFB75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B8DEE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CA93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3F38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1E48BDCA" w14:textId="77777777">
        <w:trPr>
          <w:trHeight w:val="8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49D01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FC83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1782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EED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3A036678" w14:textId="77777777">
        <w:trPr>
          <w:trHeight w:val="5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5BD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3F6D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006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B04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116 02010 02 0000 140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0DFB8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законов и иных нормативных правовых актов субъектов Российской Федерации</w:t>
            </w:r>
          </w:p>
        </w:tc>
      </w:tr>
      <w:tr w:rsidR="00C547CB" w14:paraId="59AE996E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7EE52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080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958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природных ресурсов и лесного комплекса Красноярского края</w:t>
            </w:r>
          </w:p>
        </w:tc>
      </w:tr>
      <w:tr w:rsidR="00C547CB" w14:paraId="0FAD1A96" w14:textId="77777777">
        <w:trPr>
          <w:trHeight w:val="9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0FEC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7C099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B1A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09FBF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вершеннолетних и защите их прав</w:t>
            </w:r>
          </w:p>
        </w:tc>
      </w:tr>
      <w:tr w:rsidR="00C547CB" w14:paraId="4707F5B5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E1A8C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15EF8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20DB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116 11050 01 0000 140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41360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</w:tr>
      <w:tr w:rsidR="00C547CB" w14:paraId="78F38B8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A049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DB9B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989A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экологии и рационального природопользования Красноярского края</w:t>
            </w:r>
          </w:p>
        </w:tc>
      </w:tr>
      <w:tr w:rsidR="00C547CB" w14:paraId="423D0121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3CF0D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1564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D5A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B7AA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1838F404" w14:textId="77777777">
        <w:trPr>
          <w:trHeight w:val="82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612C2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698F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8528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116 11050 01 0000 140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270AB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по искам о возмещении вреда, причиненного окружающе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вреда, причиненного водным объектам, атмосферному воздух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у, почвам, недрам, объектам животного мира, занесенным в Красную книгу Российской Федерации, а также иным объектам животного мира, не относящимся к объектам охоты и рыболовства и среде их обитания), подлежащие зачислению в бюджет муниципального образования</w:t>
            </w:r>
          </w:p>
        </w:tc>
      </w:tr>
      <w:tr w:rsidR="00C547CB" w14:paraId="0C43D0D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5F12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14B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F33AB6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Енисейское межрегиональное управление Федеральной службы в сфере природопользования</w:t>
            </w:r>
          </w:p>
        </w:tc>
      </w:tr>
      <w:tr w:rsidR="00C547CB" w14:paraId="24D4CB8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491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1921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2FF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112 01010 01 0000 120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569B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</w:tr>
      <w:tr w:rsidR="00C547CB" w14:paraId="3971107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FAE5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F117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E23B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112 01030 01 0000 120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749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сбросы загрязняющих веществ в водные объекты</w:t>
            </w:r>
          </w:p>
        </w:tc>
      </w:tr>
      <w:tr w:rsidR="00C547CB" w14:paraId="44E68B5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9219C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F47C2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BC43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112 01041 01 0000 120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3B9A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Плата за размещение отходов производства </w:t>
            </w:r>
          </w:p>
        </w:tc>
      </w:tr>
      <w:tr w:rsidR="00C547CB" w14:paraId="1AE1521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7D827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030FF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061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112 01042 01 0000 120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E835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размещение твердых коммунальных отходов</w:t>
            </w:r>
          </w:p>
        </w:tc>
      </w:tr>
      <w:tr w:rsidR="00C547CB" w14:paraId="0D47AFE2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5DEC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0E75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6D28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«Управление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547CB" w14:paraId="29894A18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329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DE0A2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7513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3211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C547CB" w14:paraId="79FC932B" w14:textId="77777777">
        <w:trPr>
          <w:trHeight w:val="55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C534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43E5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47C0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646F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Доходы, поступающие в порядке возмещения расходов, понесенных в связи с эксплуатацией имущества муниципальных районов </w:t>
            </w:r>
          </w:p>
        </w:tc>
      </w:tr>
      <w:tr w:rsidR="00C547CB" w14:paraId="43D1429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6CFF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85B7A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A25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6C1B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C547CB" w14:paraId="50B12167" w14:textId="77777777">
        <w:trPr>
          <w:trHeight w:val="8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5A4C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E558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41EF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E9E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C547CB" w14:paraId="791240CD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B482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EB006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BC7F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2FFF6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47CB" w14:paraId="56801AFE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D00C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348A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611C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47EC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08C71991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855E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400F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4F3B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AF7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547CB" w14:paraId="6C7FFE97" w14:textId="77777777">
        <w:trPr>
          <w:trHeight w:val="56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2C8A4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C1548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9D1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116 10031 05 0000 140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906A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547CB" w14:paraId="2371B70E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6D83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B1E15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B04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C8BF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47CB" w14:paraId="6D0E6BB6" w14:textId="77777777">
        <w:trPr>
          <w:trHeight w:val="8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85C6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4D4D0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10A8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39DB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47CB" w14:paraId="12A9914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47075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1C04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9CFD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81EF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47CB" w14:paraId="62F7A55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3606B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AC526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1A0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10AC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07C479A8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8F297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37784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EFE4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E07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547CB" w14:paraId="6B4B92D6" w14:textId="77777777">
        <w:trPr>
          <w:trHeight w:val="3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7BDD3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2C09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2C4A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03C0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547CB" w14:paraId="6A6E090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4D01D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D91A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A15C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33AA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547CB" w14:paraId="4D06D2E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E6FF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FA700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8D52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счетная комиссия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C547CB" w14:paraId="56505940" w14:textId="77777777">
        <w:trPr>
          <w:trHeight w:val="59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59A3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9456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981E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3A295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547CB" w14:paraId="1809656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CCF0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42A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F48E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D5A2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3611C27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3562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8D62D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6E82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492D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47CB" w14:paraId="7C2D7DC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5EBF0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2466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4C53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EFEB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0F9543F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3E2A74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EFA02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9CF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государственной охране объектов культурного наследия Красноярского края</w:t>
            </w:r>
          </w:p>
        </w:tc>
      </w:tr>
      <w:tr w:rsidR="00C547CB" w14:paraId="73F6BD15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5D0FD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6161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058</w:t>
            </w:r>
          </w:p>
        </w:tc>
        <w:tc>
          <w:tcPr>
            <w:tcW w:w="2718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9EF1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65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5CF1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7 Кодекса Российской Федерации об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 их прав</w:t>
            </w:r>
          </w:p>
        </w:tc>
      </w:tr>
      <w:tr w:rsidR="00C547CB" w14:paraId="0BF62B5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C0C803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5FE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D8F0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надзору за техническим состоянием самоходных машин и других видов техники Красноярского края</w:t>
            </w:r>
          </w:p>
        </w:tc>
      </w:tr>
      <w:tr w:rsidR="00C547CB" w14:paraId="6178B825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E84F1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EF39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069</w:t>
            </w:r>
          </w:p>
        </w:tc>
        <w:tc>
          <w:tcPr>
            <w:tcW w:w="2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366E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B81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6B10B74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D5E5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86BC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C3C4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районный Совет депутатов </w:t>
            </w:r>
          </w:p>
        </w:tc>
      </w:tr>
      <w:tr w:rsidR="00C547CB" w14:paraId="073EF47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54BA3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9E26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0137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7C8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15B46E0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5E28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1538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2CA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FDF3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47CB" w14:paraId="50F3270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D92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A2CC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5179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8319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160E1997" w14:textId="77777777">
        <w:trPr>
          <w:trHeight w:val="39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01B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A7E94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19A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BA82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547CB" w14:paraId="1147C75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8654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27A8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3AB8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образования Красноярского края</w:t>
            </w:r>
          </w:p>
        </w:tc>
      </w:tr>
      <w:tr w:rsidR="00C547CB" w14:paraId="3E1941CD" w14:textId="77777777">
        <w:trPr>
          <w:trHeight w:val="7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B6122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3C7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D93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928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547CB" w14:paraId="770D4EA1" w14:textId="77777777">
        <w:trPr>
          <w:trHeight w:val="88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E19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5675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B648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B7D2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C547CB" w14:paraId="6E4F389B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8E744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3A2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50E3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казённое учреждение «Управление культуры, спорта и молодёжной политики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C547CB" w14:paraId="4770453E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3B905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1D212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0DB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10DE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2597CCBE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D370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D43F9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9357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D2E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547CB" w14:paraId="03B32D8D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6680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2251B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61D5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08B7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Невыясненные поступления, зачисляемые в бюджеты муниципальных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районов</w:t>
            </w:r>
          </w:p>
        </w:tc>
      </w:tr>
      <w:tr w:rsidR="00C547CB" w14:paraId="4782FF5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71B1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81DC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008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45D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1C24D741" w14:textId="77777777">
        <w:trPr>
          <w:trHeight w:val="4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89E6E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CC86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A52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9EC2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547CB" w14:paraId="33162457" w14:textId="77777777">
        <w:trPr>
          <w:trHeight w:val="39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298A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880A4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039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5923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547CB" w14:paraId="128727B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7CDC7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22D0A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B16E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A179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547CB" w14:paraId="0892EC3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B4BA1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61498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E014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Финансовое управление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C547CB" w14:paraId="37D4B4B0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7CA60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A9F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2B9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111 03050 05 0000 120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C02D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C547CB" w14:paraId="74531F63" w14:textId="77777777">
        <w:trPr>
          <w:trHeight w:val="22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4969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B96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A3C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474D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547CB" w14:paraId="298E4369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1D8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C110D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EC2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113 02065 05 0000 130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0E71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C547CB" w14:paraId="15A6600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CD5C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1394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070A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9DA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компенсации затрат бюджетов муниципальных районов</w:t>
            </w:r>
          </w:p>
        </w:tc>
      </w:tr>
      <w:tr w:rsidR="00C547CB" w14:paraId="5FBE1058" w14:textId="77777777">
        <w:trPr>
          <w:trHeight w:val="88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BF654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E3C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FBE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299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47CB" w14:paraId="0CD67EE1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85EA4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7A0F6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E635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214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2FB795A0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CE341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017B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B83E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116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547CB" w14:paraId="47425E99" w14:textId="77777777">
        <w:trPr>
          <w:trHeight w:val="1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3D75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A0C7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DDAF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3C5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547CB" w14:paraId="5968197E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33E5A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D275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BAE0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0A9A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47CB" w14:paraId="53CA50F7" w14:textId="77777777">
        <w:trPr>
          <w:trHeight w:val="55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A6E3B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7AE7B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8BB4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116 10100 05 0000 140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4DA5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</w:tr>
      <w:tr w:rsidR="00C547CB" w14:paraId="1720C54E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9107A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DF1EB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9D07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117 01050 05 0000 180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EF60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Невыясненные поступления, зачисляемые в бюджеты муниципальных районов</w:t>
            </w:r>
          </w:p>
        </w:tc>
      </w:tr>
      <w:tr w:rsidR="00C547CB" w14:paraId="6C80FA68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3E109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0114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C99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117 05030 05 0001 150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BEE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 (поступления от юридических лиц (индивидуальных предпринимателей))</w:t>
            </w:r>
          </w:p>
        </w:tc>
      </w:tr>
      <w:tr w:rsidR="00C547CB" w14:paraId="648002D1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34FD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EB69F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BECC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117 05030 05 0002 150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AC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Инициативные платежи, зачисляемые в бюджеты муниципальных районов (поступления от физических лиц)</w:t>
            </w:r>
          </w:p>
        </w:tc>
      </w:tr>
      <w:tr w:rsidR="00C547CB" w14:paraId="4B124F4F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F8F8C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6D810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BB7F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E6C0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7EA88649" w14:textId="77777777">
        <w:trPr>
          <w:trHeight w:val="4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9679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87AF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0EC5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83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по решениям о взыскании средств из иных бюджетов бюджетной системы Российской Федерации</w:t>
            </w:r>
          </w:p>
        </w:tc>
      </w:tr>
      <w:tr w:rsidR="00C547CB" w14:paraId="6D4900BA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3490B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A0691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679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118 01520 05 0000 150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1474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по решениям о взыскании средств</w:t>
            </w:r>
          </w:p>
        </w:tc>
      </w:tr>
      <w:tr w:rsidR="00C547CB" w14:paraId="7F7EA04E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DE2C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17B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D8D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118 02500 05 0000 150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3C7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Поступления в бюджеты муниципальных районов (перечисления из бюджетов муниципальных районов)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C547CB" w14:paraId="11E55160" w14:textId="77777777">
        <w:trPr>
          <w:trHeight w:val="51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D8D2F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210BB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C479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202 15001 05 0000 150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38EAE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C547CB" w14:paraId="4E96BB51" w14:textId="77777777">
        <w:trPr>
          <w:trHeight w:val="29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6F912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1FE49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B4B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202 15002 05 0000 150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BE1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C547CB" w14:paraId="5B4F732E" w14:textId="77777777">
        <w:trPr>
          <w:trHeight w:val="4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9D046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BE54B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730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202 19999 05 2722 150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BDA3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дотации бюджетам муниципальных районов (на частичную компенсацию расходов на оплату труда работников муниципальных учреждений)</w:t>
            </w:r>
          </w:p>
        </w:tc>
      </w:tr>
      <w:tr w:rsidR="00C547CB" w14:paraId="3B35C8C6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2879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17E06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ACA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202 19999 05 2724 150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374D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муниципальных образований края (на частичную компенсацию расходов на повышение размеров оплаты труда работникам бюджетной сферы)</w:t>
            </w:r>
          </w:p>
        </w:tc>
      </w:tr>
      <w:tr w:rsidR="00C547CB" w14:paraId="0CA2D35D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6433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05E73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E1E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202 25098 05 0000 150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F6A3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организациях)</w:t>
            </w:r>
          </w:p>
        </w:tc>
      </w:tr>
      <w:tr w:rsidR="00C547CB" w14:paraId="0C2A4664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4BE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D3FB2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76C1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202 25172 05 0000 150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9EB71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рограммам)</w:t>
            </w:r>
          </w:p>
        </w:tc>
      </w:tr>
      <w:tr w:rsidR="00C547CB" w14:paraId="313AB201" w14:textId="77777777">
        <w:trPr>
          <w:trHeight w:val="55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B12D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F8C6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9A59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202 25304 05 0000 150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2030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C547CB" w14:paraId="5BCD94DA" w14:textId="77777777">
        <w:trPr>
          <w:trHeight w:val="57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CBAC6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0BAD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B928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202 25467 05 0000 150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448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C547CB" w14:paraId="5D4E4DA2" w14:textId="77777777">
        <w:trPr>
          <w:trHeight w:val="39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D44B6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EABC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1C69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202 25497 05 0000 150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770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C547CB" w14:paraId="35DF4AA2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52B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C2DC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6157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202 25519 05 0000 150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84E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бюджетам муниципальных районов на поддержку отрасли культуры</w:t>
            </w:r>
          </w:p>
        </w:tc>
      </w:tr>
      <w:tr w:rsidR="00C547CB" w14:paraId="0D1ABCEB" w14:textId="77777777">
        <w:trPr>
          <w:trHeight w:val="61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3EF27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8BE0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97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202 25555 05 0000 150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EF21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реализацию программ формирования современной городской среды</w:t>
            </w:r>
          </w:p>
        </w:tc>
      </w:tr>
      <w:tr w:rsidR="00C547CB" w14:paraId="44A2C313" w14:textId="77777777">
        <w:trPr>
          <w:trHeight w:val="8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CE454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5BB8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A72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202 29999 05 1521 150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14C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оснащения (обновления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ным программам)</w:t>
            </w:r>
          </w:p>
        </w:tc>
      </w:tr>
      <w:tr w:rsidR="00C547CB" w14:paraId="5C281C63" w14:textId="77777777">
        <w:trPr>
          <w:trHeight w:val="5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2288D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8913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025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C99E1" w14:textId="77777777" w:rsidR="00C547CB" w:rsidRDefault="00BA4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(на выполнение требований федеральных стандартов спортивной подготовки)</w:t>
            </w:r>
          </w:p>
        </w:tc>
      </w:tr>
      <w:tr w:rsidR="00C547CB" w14:paraId="0120D0D3" w14:textId="77777777">
        <w:trPr>
          <w:trHeight w:val="33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5DF0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D9F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B00E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202 29999 05 2654 150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EEF5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>
              <w:rPr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 развитие детско-юношеского спорта)</w:t>
            </w:r>
          </w:p>
        </w:tc>
      </w:tr>
      <w:tr w:rsidR="00C547CB" w14:paraId="5D6EB440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F7D7A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186FC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4988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202 29999 05 7398 150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5E1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проведение мероприятий, направленных на обеспечение безопасного участия детей в дорожном движении)</w:t>
            </w:r>
          </w:p>
        </w:tc>
      </w:tr>
      <w:tr w:rsidR="00C547CB" w14:paraId="754DB13F" w14:textId="77777777">
        <w:trPr>
          <w:trHeight w:val="57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E1A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AF8F4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954B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202 29999 05 7413 150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BED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частичное финансирование (возмещение) расходов на содержание единых дежурно-диспетчерских служб муниципальных образований Красноярского края)</w:t>
            </w:r>
          </w:p>
        </w:tc>
      </w:tr>
      <w:tr w:rsidR="00C547CB" w14:paraId="6D17929E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5A7F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5A502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2C23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7E3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оздание в общеобразовательных организациях, расположенных в сельской местности и малых городах, условий для занятий физической культурой и спортом за счет средств краевого бюджета)</w:t>
            </w:r>
          </w:p>
        </w:tc>
      </w:tr>
      <w:tr w:rsidR="00C547CB" w14:paraId="2C5A7DDD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60BAE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EDB0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479D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3546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</w:t>
            </w:r>
            <w:r>
              <w:rPr>
                <w:rFonts w:ascii="Times New Roman" w:hAnsi="Times New Roman" w:cs="Times New Roman"/>
                <w:color w:val="000000"/>
              </w:rPr>
              <w:t xml:space="preserve"> (на приобретение специализированных транспортных средств для перевозки инвалидов, спортивного оборудования, инвентаря, экипировки для занятий физической культурой и спортом лиц с ограниче</w:t>
            </w:r>
            <w:r>
              <w:rPr>
                <w:rFonts w:ascii="Times New Roman" w:hAnsi="Times New Roman" w:cs="Times New Roman"/>
                <w:color w:val="000000"/>
              </w:rPr>
              <w:t>нными возможностями здоровья и инвалидов в муниципальных физкультурно-спортивных организациях)</w:t>
            </w:r>
          </w:p>
        </w:tc>
      </w:tr>
      <w:tr w:rsidR="00C547CB" w14:paraId="399D7596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9B5DD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5FF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3BC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202 29999 05 7437 150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9584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и укрепление материально-технической базы муниципальных физкультурн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о-спортивных организаций и муниципальных образовательных организаций, осуществляющих деятельность в области физической культуры и спорта)</w:t>
            </w:r>
          </w:p>
        </w:tc>
      </w:tr>
      <w:tr w:rsidR="00C547CB" w14:paraId="4AE4539F" w14:textId="77777777">
        <w:trPr>
          <w:trHeight w:val="55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B4DFD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FB5D7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3CB64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AAAB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развитие системы патриотического воспитания в рамках деятельности муниципальных молодежных центров)</w:t>
            </w:r>
          </w:p>
        </w:tc>
      </w:tr>
      <w:tr w:rsidR="00C547CB" w14:paraId="5BC489E4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8E17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F536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090 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0F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202 29999 05 7456 150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957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поддержку деятельности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молодежных центров)</w:t>
            </w:r>
          </w:p>
        </w:tc>
      </w:tr>
      <w:tr w:rsidR="00C547CB" w14:paraId="01F5CD04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AD38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C2E5B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3BCB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1EB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территории)</w:t>
            </w:r>
          </w:p>
        </w:tc>
      </w:tr>
      <w:tr w:rsidR="00C547CB" w14:paraId="6ADFC05B" w14:textId="77777777">
        <w:trPr>
          <w:trHeight w:val="4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C6BBF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5BE5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3BE4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202 29999 05 7470 150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D69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создание условий для предоставления горячего питания обучающимся общеобразовательных организаций)</w:t>
            </w:r>
          </w:p>
        </w:tc>
      </w:tr>
      <w:tr w:rsidR="00C547CB" w14:paraId="02076E21" w14:textId="77777777">
        <w:trPr>
          <w:trHeight w:val="4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E3660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CE2E3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0416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202 29999 05 7475 150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1B6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обеспечение деятельности муниципальных архивов края)</w:t>
            </w:r>
          </w:p>
        </w:tc>
      </w:tr>
      <w:tr w:rsidR="00C547CB" w14:paraId="0AD26153" w14:textId="77777777">
        <w:trPr>
          <w:trHeight w:val="5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18997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C3596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9644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83FC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постоянно действующих коллективов самодеятельного художественного твор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чества Красноярского края (любительских творческих коллективов) на поддержку творческих фестивалей и конкурсов, в том числе для детей и молодежи)</w:t>
            </w:r>
          </w:p>
        </w:tc>
      </w:tr>
      <w:tr w:rsidR="00C547CB" w14:paraId="026BB458" w14:textId="77777777">
        <w:trPr>
          <w:trHeight w:val="57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C65F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FE8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9A68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202 29999 05 7488 150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252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комплектование книжных фондов библиотек муниципальных образований Красноярского края)</w:t>
            </w:r>
          </w:p>
        </w:tc>
      </w:tr>
      <w:tr w:rsidR="00C547CB" w14:paraId="3462C7F5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242C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  <w:p w14:paraId="00F97A1C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CE413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99C6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202 29999 05 7494 150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2C9C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субсидии бюджетам муниципальных районов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строительство (реконструкцию)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размещения отходов)</w:t>
            </w:r>
          </w:p>
        </w:tc>
      </w:tr>
      <w:tr w:rsidR="00C547CB" w14:paraId="7FBA94A2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DC9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77E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4A4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202 29999 05 7505 150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2852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(на подготовку описаний местоположения границ населенных пунктов и территориальных зон по Красноярскому краю)</w:t>
            </w:r>
          </w:p>
        </w:tc>
      </w:tr>
      <w:tr w:rsidR="00C547CB" w14:paraId="6FF48CDF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513E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391A9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D3FD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6C4B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модернизацию материально-технической базы организаций дополнительного образования с целью создания новых мест для реализации дополнительных общеразвивающих программ)</w:t>
            </w:r>
          </w:p>
        </w:tc>
      </w:tr>
      <w:tr w:rsidR="00C547CB" w14:paraId="79D05EA7" w14:textId="77777777">
        <w:trPr>
          <w:trHeight w:val="57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CD274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68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454E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1DB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бсидии бюджетам муниципальных районов (на приведение зданий и сооружений общеобразовательных организаций в соответствие с требованиями законодательства)</w:t>
            </w:r>
          </w:p>
        </w:tc>
      </w:tr>
      <w:tr w:rsidR="00C547CB" w14:paraId="02316439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CC370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69272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08BF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202 29999 05 7568 150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6596C" w14:textId="77777777" w:rsidR="00C547CB" w:rsidRDefault="00BA43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увеличение охвата детей, обучающихся по дополнительным общеразвивающим программам)</w:t>
            </w:r>
          </w:p>
        </w:tc>
      </w:tr>
      <w:tr w:rsidR="00C547CB" w14:paraId="59426B5B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E85F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65BD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DB19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202 29999 05 7579 150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335C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муниципальных районов (на реализацию муниципальных программ (подпро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грамм) поддержки социально ориентированных некоммерческих организаций)</w:t>
            </w:r>
          </w:p>
        </w:tc>
      </w:tr>
      <w:tr w:rsidR="00C547CB" w14:paraId="2856A2E6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1D631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F4BC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37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202 29999 05 7582 150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BCA8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приведение зданий и сооружений организаций, реализую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образовательные программы дошкольного образован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ия, в соответствие с требованиями законодательства)</w:t>
            </w:r>
          </w:p>
        </w:tc>
      </w:tr>
      <w:tr w:rsidR="00C547CB" w14:paraId="0D7728F0" w14:textId="77777777">
        <w:trPr>
          <w:trHeight w:val="5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B4080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D06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F3C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202 29999 05 7607 150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41CF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предпринимательства)</w:t>
            </w:r>
          </w:p>
        </w:tc>
      </w:tr>
      <w:tr w:rsidR="00C547CB" w14:paraId="322C7FBC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6A3B6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76C64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3B8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202 29999 05 7645 150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B0A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создание условий для обеспечени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услугами связи малочисленных и труднодоступных населенных пунктов Красноярского края)</w:t>
            </w:r>
          </w:p>
        </w:tc>
      </w:tr>
      <w:tr w:rsidR="00C547CB" w14:paraId="1C578F96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D286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7336A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58D7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202 29999 05 7668 150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03F4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деятельности)</w:t>
            </w:r>
          </w:p>
        </w:tc>
      </w:tr>
      <w:tr w:rsidR="00C547CB" w14:paraId="47C33603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C215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7FB1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9990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202 29999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05 7749 150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1317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субсидии бюджетам муниципальных районов (для реализации проектов по решению вопросов местного значения сельских поселений)</w:t>
            </w:r>
          </w:p>
        </w:tc>
      </w:tr>
      <w:tr w:rsidR="00C547CB" w14:paraId="5530AC25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FBE92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2B813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CA5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202 29999 05 7840 150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3D61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субсидии бюджетам муниципальных районов (на 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качества) </w:t>
            </w:r>
          </w:p>
        </w:tc>
      </w:tr>
      <w:tr w:rsidR="00C547CB" w14:paraId="36BC2F7A" w14:textId="77777777">
        <w:trPr>
          <w:trHeight w:val="8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8F59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255C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1AEC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202 30024 05 0289 150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C8F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на выполнение передаваемых полномочий субъектов Российской Федерации (на организацию и осуществление деятельности по опеке и попечительству в отношении совершен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нолетних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граждан, а также в сфере патронажа (в 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Законом края от 11 июля 2019 года № 7-2988))</w:t>
            </w:r>
          </w:p>
        </w:tc>
      </w:tr>
      <w:tr w:rsidR="00C547CB" w14:paraId="643C89AB" w14:textId="77777777">
        <w:trPr>
          <w:trHeight w:val="21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76384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5AF22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7EE7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475EC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лучение общедоступного и бесплатного дошкольного образования в муниципальных дошкольных образовательных организациях, находящихся на территории края, общедоступного и бесплатного дошкольного образования в муниципальных общеобразовательных организациях, нах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одящихся на территории края,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федеральными государственными образовательными стандартами)</w:t>
            </w:r>
          </w:p>
        </w:tc>
      </w:tr>
      <w:tr w:rsidR="00C547CB" w14:paraId="7FB0F9DF" w14:textId="77777777">
        <w:trPr>
          <w:trHeight w:val="225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7A420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40FB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8F8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202 30024 05 7409 150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8A2E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государственных гарантий реализации прав на получение общедоступного и бесплатного начального общего, основного общего, среднего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в части обеспечения деятельн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и)</w:t>
            </w:r>
          </w:p>
        </w:tc>
      </w:tr>
      <w:tr w:rsidR="00C547CB" w14:paraId="7CDDB9EA" w14:textId="77777777">
        <w:trPr>
          <w:trHeight w:val="114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6EE72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7C3A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8AAE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202 30024 05 7429 150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B788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ектов Российской Федерации (по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 6-2056) по министерству экономики и регионально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развития Красноярского края)</w:t>
            </w:r>
          </w:p>
        </w:tc>
      </w:tr>
      <w:tr w:rsidR="00C547CB" w14:paraId="05250FF3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23A3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F06C0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E3CA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9141A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муниципальных районов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передаваемых полномочий субъектов Российской Федерации (по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</w:tr>
      <w:tr w:rsidR="00C547CB" w14:paraId="3BB69A8F" w14:textId="77777777">
        <w:trPr>
          <w:trHeight w:val="88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E1A35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EDB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467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24965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решению вопросов поддержки сельскохозяйственного производства (в соответствии с Законом края от 27 декабря 2005 года № 17-4397))</w:t>
            </w:r>
          </w:p>
        </w:tc>
      </w:tr>
      <w:tr w:rsidR="00C547CB" w14:paraId="3AEDE22E" w14:textId="77777777">
        <w:trPr>
          <w:trHeight w:val="9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424F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AB00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F10D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7142E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мероприятий при осуществлении деятельности по обращению с животными без владельцев (в соответствии с Законом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 от 13 июня 2013 года № 4-1402))</w:t>
            </w:r>
          </w:p>
        </w:tc>
      </w:tr>
      <w:tr w:rsidR="00C547CB" w14:paraId="11D8F5F6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0AE4C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6F5D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118C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202 30024 05 7519 150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AF68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районов на выполнение передаваемых полномочий субъектов Российской Федерации (в области архивного дела, переданных органам местного самоуправления Красноярского края (в соответствии с Законом края от 21 декабря 2010 года № 11-5564))</w:t>
            </w:r>
          </w:p>
        </w:tc>
      </w:tr>
      <w:tr w:rsidR="00C547CB" w14:paraId="1CBFFB05" w14:textId="77777777">
        <w:trPr>
          <w:trHeight w:val="8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60954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C173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28E7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F3E26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осуществлению деятельности по опеке и попечительству (в соответствии с Законом края от 20 декабря 2007 года № 4-1089))</w:t>
            </w:r>
          </w:p>
        </w:tc>
      </w:tr>
      <w:tr w:rsidR="00C547CB" w14:paraId="02A4A005" w14:textId="77777777">
        <w:trPr>
          <w:trHeight w:val="141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0D9FA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B34D7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EDE9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202 30024 05 7554 150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E07F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по осуществлению присмотра и ухода за детьми-инвалидами, детьми-сиротами и детьми, оставшимися без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 2005 года № 17-4379))</w:t>
            </w:r>
          </w:p>
        </w:tc>
      </w:tr>
      <w:tr w:rsidR="00C547CB" w14:paraId="2F05A290" w14:textId="77777777">
        <w:trPr>
          <w:trHeight w:val="211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B9B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96889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437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37C7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 на получение общедоступного и бесплатного начального общего, основного общего, среднего общего образования в муниципальных общеобразовательных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547CB" w14:paraId="0712CD32" w14:textId="77777777">
        <w:trPr>
          <w:trHeight w:val="10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A3CE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3FA53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F2E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1DF3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обеспечение бесплатным питанием обучающихся в муниципальных и частных общеобразовательных организациях по имеющим госуда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рственную аккредитацию основным общеобразовательным программам (в соответствии с Законом края от 27 декабря 2005 года № 17-4377))</w:t>
            </w:r>
          </w:p>
        </w:tc>
      </w:tr>
      <w:tr w:rsidR="00C547CB" w14:paraId="65BCF877" w14:textId="77777777">
        <w:trPr>
          <w:trHeight w:val="9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56A97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AF295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0FD8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202 30024 05 7570 150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6D4E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(на реализацию отдельных мер по обеспечению ограничения платы граждан за коммунальные услуги (в соответствии с Законом края от 1 декабря 2014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7-2839))</w:t>
            </w:r>
          </w:p>
        </w:tc>
      </w:tr>
      <w:tr w:rsidR="00C547CB" w14:paraId="0DCE67E4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94D0B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8A9F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4C1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202 30024 05 7587 150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E275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 муниципальных районов на выполнение передаваемых полномочий субъектов Российской Федерации (на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 9-4225))</w:t>
            </w:r>
          </w:p>
        </w:tc>
      </w:tr>
      <w:tr w:rsidR="00C547CB" w14:paraId="6F987002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450F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5239D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0E1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202 30024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05  7588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98ECE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енции бюджетам муниципальных районов на выполнение передаваемых полномочий субъектов Российской Федерации ( на получение общедоступного и бесплатного дошкольного образования в муниципальных дошкольных образовательных организациях, находящихся на территории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края, общедоступного и бесплатного дошкольного образования в муниципальных общеобразовательных организациях, находящихся на территории края, за исключением обеспечения деятельности административно-хозяйственного, учебно-вспомогательного персонала и иных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стандартами)</w:t>
            </w:r>
          </w:p>
        </w:tc>
      </w:tr>
      <w:tr w:rsidR="00C547CB" w14:paraId="7F3F5B9A" w14:textId="77777777">
        <w:trPr>
          <w:trHeight w:val="82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0DDEF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F3BF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B455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03509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расчету и предоставлению дотаций на выравнивание бюджетной обеспеченности поселений, входящих в состав муниципального района края (в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вии с Законом края от 29 ноября 2005 года № 16-4081)</w:t>
            </w:r>
          </w:p>
        </w:tc>
      </w:tr>
      <w:tr w:rsidR="00C547CB" w14:paraId="5413DCB9" w14:textId="77777777">
        <w:trPr>
          <w:trHeight w:val="87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A322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220A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CCDB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202 30024 05 7604 150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CADCA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редаваемых полномочий субъектов Российской Федерации (на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 21-5589)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547CB" w14:paraId="4346B31C" w14:textId="77777777">
        <w:trPr>
          <w:trHeight w:val="84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0783D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9B8C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1A24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202 30024 05 7649 150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23D0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организации и обеспечению отдыха и оздоровления детей (в соответствии с Законом края от 19 апреля 2018 года № 5-1533))</w:t>
            </w:r>
          </w:p>
        </w:tc>
      </w:tr>
      <w:tr w:rsidR="00C547CB" w14:paraId="3BAD9C09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521D2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43A4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D887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202 30024 05 7846 150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3E08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выполнение передаваемых полномочий субъектов Российской Федерации (по обеспечению предоставления меры социальной поддержки гражданам, достигшим возраста 23 лет и старше, имевшим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11-5284))</w:t>
            </w:r>
          </w:p>
        </w:tc>
      </w:tr>
      <w:tr w:rsidR="00C547CB" w14:paraId="632B7C3A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7EB0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0124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2A7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202 30029 05 0000 150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C4764" w14:textId="77777777" w:rsidR="00C547CB" w:rsidRDefault="00BA4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ого образования </w:t>
            </w:r>
          </w:p>
        </w:tc>
      </w:tr>
      <w:tr w:rsidR="00C547CB" w14:paraId="4066E4F0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9A00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DEA8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857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202 35118 05 0000 150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C6EE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C547CB" w14:paraId="6429CE85" w14:textId="77777777">
        <w:trPr>
          <w:trHeight w:val="43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9A94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90A7D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DE2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202 35120 05 0000 120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DC84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C547CB" w14:paraId="7993DB18" w14:textId="77777777">
        <w:trPr>
          <w:trHeight w:val="8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E4A60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127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C208A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1B0C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202 40014 05 0000 150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877A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C547CB" w14:paraId="4FD83C12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49313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1CA7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4B7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202 45179 05 0000 150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CA665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C547CB" w14:paraId="3AAC63F8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54E0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FA4C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079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202 45303 05 0000 150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38184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C547CB" w14:paraId="599552BA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83F1B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DCE46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324F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202 45519 05 0000 150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6854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поддержку отрасли культуры</w:t>
            </w:r>
          </w:p>
        </w:tc>
      </w:tr>
      <w:tr w:rsidR="00C547CB" w14:paraId="5DFACBAF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39F4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274B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41EA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8601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C547CB" w14:paraId="3B1A61B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64F26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466F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EA37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202 49999 05 0853 150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CE1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финансовое обеспечение (возмещение) расходов, связанных с предоставле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нием мер социальной поддержки в сфере дошкольного и общего образования детям из семей лиц, принимающих участие в специальной военной операции, по министерству образования Красноярского края)</w:t>
            </w:r>
          </w:p>
        </w:tc>
      </w:tr>
      <w:tr w:rsidR="00C547CB" w14:paraId="4E4A283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22826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10DE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D74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202 49999 05 1011 150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174C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(резервный фонд Правительства Красноярского края)</w:t>
            </w:r>
          </w:p>
        </w:tc>
      </w:tr>
      <w:tr w:rsidR="00C547CB" w14:paraId="420ACDD3" w14:textId="77777777">
        <w:trPr>
          <w:trHeight w:val="5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6E2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960D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5B49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202 49999 05 5299 150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E929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обустройство и восс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тановление воинских захоронений)</w:t>
            </w:r>
          </w:p>
        </w:tc>
      </w:tr>
      <w:tr w:rsidR="00C547CB" w14:paraId="2A0771DA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6F43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2BBC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B12D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202 49999 05 7412 150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FAA5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(на обеспечение первичных мер пожарной безопасности)</w:t>
            </w:r>
          </w:p>
        </w:tc>
      </w:tr>
      <w:tr w:rsidR="00C547CB" w14:paraId="7C7E3A34" w14:textId="77777777">
        <w:trPr>
          <w:trHeight w:val="56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A7774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98031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C300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202 49999 05 7418 150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C2542" w14:textId="77777777" w:rsidR="00C547CB" w:rsidRDefault="00BA43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поддержку физкультурно-спортивных клубов по месту жительства)</w:t>
            </w:r>
          </w:p>
        </w:tc>
      </w:tr>
      <w:tr w:rsidR="00C547CB" w14:paraId="2EED22AE" w14:textId="77777777">
        <w:trPr>
          <w:trHeight w:val="6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8BC5F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357B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FCC3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202 49999 05 7463 150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B5232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обустройство мест (площадок) накопления отходов потребления и (или) приобретение контейнерного оборудования)</w:t>
            </w:r>
          </w:p>
        </w:tc>
      </w:tr>
      <w:tr w:rsidR="00C547CB" w14:paraId="5D238616" w14:textId="77777777">
        <w:trPr>
          <w:trHeight w:val="73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5830D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57B5A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17F7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202 49999 05 7484 150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30AD5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создание (реконструкцию) и капитальный ремонт культурно-досуговых учреждений в сельской местности)</w:t>
            </w:r>
          </w:p>
        </w:tc>
      </w:tr>
      <w:tr w:rsidR="00C547CB" w14:paraId="023428AD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DBEBC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23AA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7D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202 49999 05 7508 150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A07A5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передаваемые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бюджетам муниципальных районов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</w:tr>
      <w:tr w:rsidR="00C547CB" w14:paraId="7552D03E" w14:textId="77777777">
        <w:trPr>
          <w:trHeight w:val="103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91F4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0F97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F874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202 49999 05 7555 150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56CFC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нсферты бюджетам муниципальных районов (на реализацию мероприятий по неспецифической профилактике инфекций, передающихся иксодовыми клещами, путем организации и проведения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акарицидных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обработок наиболее посещаемых населением участков территории природных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чагов клещевых инфекций) </w:t>
            </w:r>
          </w:p>
        </w:tc>
      </w:tr>
      <w:tr w:rsidR="00C547CB" w14:paraId="36420712" w14:textId="77777777">
        <w:trPr>
          <w:trHeight w:val="5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0BCC6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DDBF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B99C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202 49999 05 7641 150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FA81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C547CB" w14:paraId="494702B1" w14:textId="77777777">
        <w:trPr>
          <w:trHeight w:val="58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6201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D926E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805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202 49999 05 7664 150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D00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бюджетам муниципальных районов (на государственную поддержку муниципальных комплексных проектов развития)</w:t>
            </w:r>
          </w:p>
        </w:tc>
      </w:tr>
      <w:tr w:rsidR="00C547CB" w14:paraId="65EDD58E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3F270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9128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7CC5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202 49999 05 7666 150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C12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муниципальных районов (на благоустройство кладбищ)</w:t>
            </w:r>
          </w:p>
        </w:tc>
      </w:tr>
      <w:tr w:rsidR="00C547CB" w14:paraId="31DA852D" w14:textId="77777777">
        <w:trPr>
          <w:trHeight w:val="55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68C5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1D03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D072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0A3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муниципальных районов (за содействие развитию налогового потенциала)</w:t>
            </w:r>
          </w:p>
        </w:tc>
      </w:tr>
      <w:tr w:rsidR="00C547CB" w14:paraId="19E15BDF" w14:textId="77777777">
        <w:trPr>
          <w:trHeight w:val="82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3E00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6F7E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09CE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202 49999 05 7749 150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10CE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</w:tr>
      <w:tr w:rsidR="00C547CB" w14:paraId="158588E1" w14:textId="77777777">
        <w:trPr>
          <w:trHeight w:val="48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E33D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683B1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FB5C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202 49999 05 7845 150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E4839" w14:textId="77777777" w:rsidR="00C547CB" w:rsidRDefault="00BA4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межбюджетные трансферты,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передаваемые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 (на устройство плоскостных спортивных сооружений в сельской местности)</w:t>
            </w:r>
          </w:p>
        </w:tc>
      </w:tr>
      <w:tr w:rsidR="00C547CB" w14:paraId="14CB1434" w14:textId="77777777">
        <w:trPr>
          <w:trHeight w:val="2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E0CED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CFE2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006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202 90065 05 0000 150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27EB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сельских поселений</w:t>
            </w:r>
          </w:p>
        </w:tc>
      </w:tr>
      <w:tr w:rsidR="00C547CB" w14:paraId="7B1ECAF4" w14:textId="77777777">
        <w:trPr>
          <w:trHeight w:val="25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D2BA5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3CFA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24C6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202 90105 05 0000 150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8F1BE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муниципальных районов от бюджетов городских поселений</w:t>
            </w:r>
          </w:p>
        </w:tc>
      </w:tr>
      <w:tr w:rsidR="00C547CB" w14:paraId="666CA5A6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F70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7E12F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3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6AF3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547CB" w14:paraId="66944906" w14:textId="77777777">
        <w:trPr>
          <w:trHeight w:val="2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BB4E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F72B4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503B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C35A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547CB" w14:paraId="1000395D" w14:textId="77777777">
        <w:trPr>
          <w:trHeight w:val="27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24BD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E436B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412D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3FF2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в бюджеты муниципальных районов</w:t>
            </w:r>
          </w:p>
        </w:tc>
      </w:tr>
      <w:tr w:rsidR="00C547CB" w14:paraId="5A0DAF61" w14:textId="77777777">
        <w:trPr>
          <w:trHeight w:val="111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A54F1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D923C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D9D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208 05000 05 0000 150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7142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C547CB" w14:paraId="23A3C378" w14:textId="77777777">
        <w:trPr>
          <w:trHeight w:val="57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0DFC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9A83F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AF4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208 10000 05 0000 150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4B3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C547CB" w14:paraId="374883C2" w14:textId="77777777">
        <w:trPr>
          <w:trHeight w:val="57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8E8C7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E873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43B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8B2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C547CB" w14:paraId="161E33A9" w14:textId="77777777">
        <w:trPr>
          <w:trHeight w:val="54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F382B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EA8D2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5257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218 05020 05 0000 150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C524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автономными учреждениями остатков субсидий прошлых лет</w:t>
            </w:r>
          </w:p>
        </w:tc>
      </w:tr>
      <w:tr w:rsidR="00C547CB" w14:paraId="03798146" w14:textId="77777777">
        <w:trPr>
          <w:trHeight w:val="2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08C2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D58A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107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218 05030 05 0000 150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044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C547CB" w14:paraId="69A5A3A0" w14:textId="77777777">
        <w:trPr>
          <w:trHeight w:val="50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610D9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3CF7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B187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218 60010 05 0000 150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6805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поселений,</w:t>
            </w:r>
          </w:p>
        </w:tc>
      </w:tr>
      <w:tr w:rsidR="00C547CB" w14:paraId="6EED846C" w14:textId="77777777">
        <w:trPr>
          <w:trHeight w:val="57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3293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D1C32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89FA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219 60010 05 0000 150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FC5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C547CB" w14:paraId="2BBB8BD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E15E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A08E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4F15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по ветеринарному надзору Красноярского края</w:t>
            </w:r>
          </w:p>
        </w:tc>
      </w:tr>
      <w:tr w:rsidR="00C547CB" w14:paraId="62266E4D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1A7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BD645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0280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CE2D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61E6B39F" w14:textId="77777777">
        <w:trPr>
          <w:trHeight w:val="8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5BE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6CCE9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F364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2021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084F62E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5CC5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FD809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C2B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сельского хозяйства и торговли Красноярского края</w:t>
            </w:r>
          </w:p>
        </w:tc>
      </w:tr>
      <w:tr w:rsidR="00C547CB" w14:paraId="5DB6AE8E" w14:textId="77777777">
        <w:trPr>
          <w:trHeight w:val="89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91667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14F8C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262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F4D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0A16499E" w14:textId="77777777">
        <w:trPr>
          <w:trHeight w:val="78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5369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2831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C5A1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999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3F920D4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12ED5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9071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2C6D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Служба строительного надзора и жилищного контроля Красноярского края</w:t>
            </w:r>
          </w:p>
        </w:tc>
      </w:tr>
      <w:tr w:rsidR="00C547CB" w14:paraId="03904856" w14:textId="77777777">
        <w:trPr>
          <w:trHeight w:val="88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33B7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DD7F0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02D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DB18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547CB" w14:paraId="63D7EC9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3C46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170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F5E0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Ужурского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района Красноярского края</w:t>
            </w:r>
          </w:p>
        </w:tc>
      </w:tr>
      <w:tr w:rsidR="00C547CB" w14:paraId="1E9DA59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9B5A5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538A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C684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108 07150 01 1000 110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8D8B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выдачу разрешения на установку рекламной продукции</w:t>
            </w:r>
          </w:p>
        </w:tc>
      </w:tr>
      <w:tr w:rsidR="00C547CB" w14:paraId="470D147C" w14:textId="77777777">
        <w:trPr>
          <w:trHeight w:val="83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5660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88A0F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31B6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0620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заключение договоров аренды указанных земельных участков</w:t>
            </w:r>
          </w:p>
        </w:tc>
      </w:tr>
      <w:tr w:rsidR="00C547CB" w14:paraId="74876E74" w14:textId="77777777">
        <w:trPr>
          <w:trHeight w:val="79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7BB8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41114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0298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6195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районов, (за исключением земельных участков муниципальных бюджетных, автономных учреждений)</w:t>
            </w:r>
          </w:p>
        </w:tc>
      </w:tr>
      <w:tr w:rsidR="00C547CB" w14:paraId="1CB1A078" w14:textId="77777777">
        <w:trPr>
          <w:trHeight w:val="114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5536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D424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3750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111 05026 05 0000 120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71D4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которые расположены в границах межселенных территорий муниципальных районов, находятся в федеральной собственности и осуществление полномочий по управлению и распо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</w:tr>
      <w:tr w:rsidR="00C547CB" w14:paraId="552F28F9" w14:textId="77777777">
        <w:trPr>
          <w:trHeight w:val="5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5D5E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B4B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A100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111 05035 05 0000 120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6D96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бюджетных, автономных учреждений)</w:t>
            </w:r>
          </w:p>
        </w:tc>
      </w:tr>
      <w:tr w:rsidR="00C547CB" w14:paraId="1831AF9A" w14:textId="77777777">
        <w:trPr>
          <w:trHeight w:val="56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43A92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169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D2F0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2FE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111 05075 05 0000 120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0DE6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</w:tr>
      <w:tr w:rsidR="00C547CB" w14:paraId="19E480AE" w14:textId="77777777">
        <w:trPr>
          <w:trHeight w:val="84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A5CD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7AEC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842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111 09045 05 0000 120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663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C547CB" w14:paraId="42E09484" w14:textId="77777777">
        <w:trPr>
          <w:trHeight w:val="110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2957F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21A1B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689E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111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09080  05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45BC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муниципальных районов, и на землях или земельных участках, государственная собственность на которые не разграничена</w:t>
            </w:r>
          </w:p>
        </w:tc>
      </w:tr>
      <w:tr w:rsidR="00C547CB" w14:paraId="5E33875B" w14:textId="77777777">
        <w:trPr>
          <w:trHeight w:val="2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558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142A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E95F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113 01995 05 0000 130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D49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C547CB" w14:paraId="615F3DC8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DC8F3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70078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E97B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113 02995 05 0000 130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046F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компенсации затрат бюджетов муниципальных районов</w:t>
            </w:r>
          </w:p>
        </w:tc>
      </w:tr>
      <w:tr w:rsidR="00C547CB" w14:paraId="63D00C75" w14:textId="77777777">
        <w:trPr>
          <w:trHeight w:val="8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D2098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C390A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0202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DF30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в части реализа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основных средств по указанному имуществу</w:t>
            </w:r>
          </w:p>
        </w:tc>
      </w:tr>
      <w:tr w:rsidR="00C547CB" w14:paraId="19A32980" w14:textId="77777777">
        <w:trPr>
          <w:trHeight w:val="83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7ACCF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158E6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5A0A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114 02053 05 0000 440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0CAD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C547CB" w14:paraId="7387F516" w14:textId="77777777">
        <w:trPr>
          <w:trHeight w:val="54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BC36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33CB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C7E6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114 06013 05 0000 430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A64C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</w:tr>
      <w:tr w:rsidR="00C547CB" w14:paraId="3F533655" w14:textId="77777777">
        <w:trPr>
          <w:trHeight w:val="55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D236F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928F6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F95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114 06025 05 0000 430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952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C547CB" w14:paraId="7B901C44" w14:textId="77777777">
        <w:trPr>
          <w:trHeight w:val="8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833D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8CA1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CD2C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116 01074 01 0000 140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30008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C547CB" w14:paraId="0E243E3C" w14:textId="77777777">
        <w:trPr>
          <w:trHeight w:val="8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9960F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293B0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FD0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116 01084 01 0000 140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8A0F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органов муниципального контроля</w:t>
            </w:r>
          </w:p>
        </w:tc>
      </w:tr>
      <w:tr w:rsidR="00C547CB" w14:paraId="5EDC796D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744C1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98662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39E7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116 07010 05 0000 140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2185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C547CB" w14:paraId="65E0EE05" w14:textId="77777777">
        <w:trPr>
          <w:trHeight w:val="86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B30C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FBF90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D18C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116 07090 05 0000 140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233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C547CB" w14:paraId="7305A5EA" w14:textId="77777777">
        <w:trPr>
          <w:trHeight w:val="6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18104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3470A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2EE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5702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</w:tr>
      <w:tr w:rsidR="00C547CB" w14:paraId="1D4A83F9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BAF91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F1F32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9907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116 10032 05 0000 140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8A7C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Прочее возмещение ущерба, причиненного муниципальному имуществу муниципального района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C547CB" w14:paraId="2D2DECD8" w14:textId="77777777">
        <w:trPr>
          <w:trHeight w:val="84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59DC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72CF9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25D5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116 10081 05 0000 140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4E1FA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C547CB" w14:paraId="55EE3D71" w14:textId="77777777">
        <w:trPr>
          <w:trHeight w:val="84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3D6B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B0DF7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794F1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BF90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в 2019 году</w:t>
            </w:r>
          </w:p>
        </w:tc>
      </w:tr>
      <w:tr w:rsidR="00C547CB" w14:paraId="74FC077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B7EA1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C96F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C843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117 05050 05 0000 180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7FF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неналоговые доходы бюджетов муниципальных районов</w:t>
            </w:r>
          </w:p>
        </w:tc>
      </w:tr>
      <w:tr w:rsidR="00C547CB" w14:paraId="3BA8600B" w14:textId="77777777">
        <w:trPr>
          <w:trHeight w:val="59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B726D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58D79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3E0D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D9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государственных (муниципальных) организаций в бюджеты муниципальных районов</w:t>
            </w:r>
          </w:p>
        </w:tc>
      </w:tr>
      <w:tr w:rsidR="00C547CB" w14:paraId="50CE27C9" w14:textId="77777777">
        <w:trPr>
          <w:trHeight w:val="3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79535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7E5C0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B62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204 05099 05 0000 150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4F8E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безвозмездные поступления от негосударственных организаций в бюджеты муниципальных районов</w:t>
            </w:r>
          </w:p>
        </w:tc>
      </w:tr>
      <w:tr w:rsidR="00C547CB" w14:paraId="6B98CCC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930C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2FEA5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45C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207 05030 05 0000 150 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8B1C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Прочие безвозмездные поступления в бюджеты муниципальных районов </w:t>
            </w:r>
          </w:p>
        </w:tc>
      </w:tr>
      <w:tr w:rsidR="00C547CB" w14:paraId="724F2ACA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4AB95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6763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EF0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Архивное агентство Красноярского края</w:t>
            </w:r>
          </w:p>
        </w:tc>
      </w:tr>
      <w:tr w:rsidR="00C547CB" w14:paraId="558E6A6C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29794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1E4FD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268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ABE8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7" w:type="dxa"/>
            <w:gridSpan w:val="6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C3AF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6532AC30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58B86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1668C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412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гражданской обороне, чрезвычайным ситуациям и пожарной безопасности Красноярского края</w:t>
            </w:r>
          </w:p>
        </w:tc>
      </w:tr>
      <w:tr w:rsidR="00C547CB" w14:paraId="6537A629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048A6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3F3B0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88E0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81" w:type="dxa"/>
            <w:gridSpan w:val="4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D808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46F47396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E4FCF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874A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08E0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Красноярскому краю</w:t>
            </w:r>
          </w:p>
        </w:tc>
      </w:tr>
      <w:tr w:rsidR="00C547CB" w14:paraId="4EE4745E" w14:textId="77777777">
        <w:trPr>
          <w:trHeight w:val="70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03165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BC63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0CF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1 01 01012 02 0000 110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D2EAD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кроме налога, уплаченного налогоплательщиками,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на основании лицензии на осуществление исключительного права на экспорт газа (за исключением налога, уплаченного налогоплательщиками, которые до 1 января 2023 года являлись участниками консолидированной группы налогоплательщиков), зачисляемый в бюджеты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субъектов Российской Федерации</w:t>
            </w:r>
          </w:p>
        </w:tc>
      </w:tr>
      <w:tr w:rsidR="00C547CB" w14:paraId="3DBDA154" w14:textId="77777777">
        <w:trPr>
          <w:trHeight w:val="86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512BF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0793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6648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886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</w:tr>
      <w:tr w:rsidR="00C547CB" w14:paraId="73F1E76A" w14:textId="77777777">
        <w:trPr>
          <w:trHeight w:val="111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2E44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CBD6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0B8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1 01 02020 01 0000 110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A0DD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C547CB" w14:paraId="261E7FE7" w14:textId="77777777">
        <w:trPr>
          <w:trHeight w:val="56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47C6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4BD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60F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1 01 02030 01 0000 110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EE04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C547CB" w14:paraId="2E3DD833" w14:textId="77777777">
        <w:trPr>
          <w:trHeight w:val="8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1D7A4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EA2E2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2E9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1 01 02040 01 0000 110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E097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C547CB" w14:paraId="7437BFD7" w14:textId="77777777">
        <w:trPr>
          <w:trHeight w:val="112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BD86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C9798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EE6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1 01 02080 01 0000 110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F2A5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в части суммы налога, превыша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C547CB" w14:paraId="229519FC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C7878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A7199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D7DA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101 02130 01 0000 110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9B082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</w:tr>
      <w:tr w:rsidR="00C547CB" w14:paraId="25231A8B" w14:textId="77777777">
        <w:trPr>
          <w:trHeight w:val="2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2993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C7D1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B85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101 02140 01 0000 110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CB67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</w:tr>
      <w:tr w:rsidR="00C547CB" w14:paraId="592ED75A" w14:textId="77777777">
        <w:trPr>
          <w:trHeight w:val="44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BDFE1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9B0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2665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1 05 01011 01 0000 110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DE09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объекта налогообложения доходы</w:t>
            </w:r>
          </w:p>
        </w:tc>
      </w:tr>
      <w:tr w:rsidR="00C547CB" w14:paraId="01A5D635" w14:textId="77777777">
        <w:trPr>
          <w:trHeight w:val="55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087C3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373F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FCE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1 05 01012 01 0000 110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99282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C547CB" w14:paraId="1A364AC0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75CA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4A9C1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2AB0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1 05 01021 01 0000 110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7AD0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C547CB" w14:paraId="174438B7" w14:textId="77777777">
        <w:trPr>
          <w:trHeight w:val="55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DE73B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877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41A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1 05 01022 01 0000 110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2C60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C547CB" w14:paraId="229B7F75" w14:textId="77777777">
        <w:trPr>
          <w:trHeight w:val="57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0781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C836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A710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1 05 01050 01 0000 110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9BC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C547CB" w14:paraId="70552681" w14:textId="77777777">
        <w:trPr>
          <w:trHeight w:val="42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7574A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866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71A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4B58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</w:tr>
      <w:tr w:rsidR="00C547CB" w14:paraId="3EFDC6F8" w14:textId="77777777">
        <w:trPr>
          <w:trHeight w:val="57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B3059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EB67D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D2F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1 08 03010 01 1050 110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AE70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Государственная пошлина по делам, рассматриваемым в судах общей юрисдикции, мировыми судьями (за исключением Верховного Суда РФ) (государственная пошлина, уплачиваемая при обращении в суды) </w:t>
            </w:r>
          </w:p>
        </w:tc>
      </w:tr>
      <w:tr w:rsidR="00C547CB" w14:paraId="7733509B" w14:textId="77777777">
        <w:trPr>
          <w:trHeight w:val="84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C6E04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95CE0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D565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108 03010 01 1060 110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BD7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C547CB" w14:paraId="3633AE47" w14:textId="77777777">
        <w:trPr>
          <w:trHeight w:val="8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A82F3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9046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B146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1 16 10129 01 0000 140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A686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C547CB" w14:paraId="19109D3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B1AD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596A2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9460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Красноярскому краю</w:t>
            </w:r>
          </w:p>
        </w:tc>
      </w:tr>
      <w:tr w:rsidR="00C547CB" w14:paraId="305414CB" w14:textId="77777777">
        <w:trPr>
          <w:trHeight w:val="7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C079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B358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1F69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E5B5F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47CB" w14:paraId="7F74169F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E7BF3" w14:textId="77777777" w:rsidR="00C547CB" w:rsidRDefault="00C547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D5E8B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D098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труда и занятости населения Красноярского края</w:t>
            </w:r>
          </w:p>
        </w:tc>
      </w:tr>
      <w:tr w:rsidR="00C547CB" w14:paraId="744CCCC1" w14:textId="77777777">
        <w:trPr>
          <w:trHeight w:val="86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94DF0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3BEB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89BA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83A9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547CB" w14:paraId="10248067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80BC3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8173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FC85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промышленности, энергетики и жилищно-коммунального хозяйства Красноярского края</w:t>
            </w:r>
          </w:p>
        </w:tc>
      </w:tr>
      <w:tr w:rsidR="00C547CB" w14:paraId="2C564EFE" w14:textId="77777777">
        <w:trPr>
          <w:trHeight w:val="86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5EB30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6010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3722B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FADA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1F3B0D6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1200C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D7218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F437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Прокуратура Красноярского края</w:t>
            </w:r>
          </w:p>
        </w:tc>
      </w:tr>
      <w:tr w:rsidR="00C547CB" w14:paraId="68D15D31" w14:textId="77777777">
        <w:trPr>
          <w:trHeight w:val="78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7D3F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7BFE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998F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1 16 10123 01 0051 140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E47B2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47CB" w14:paraId="7DA5FD93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F0FF5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14F1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47AC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Агентство по обеспечению деятельности мировых судей Красноярского края</w:t>
            </w:r>
          </w:p>
        </w:tc>
      </w:tr>
      <w:tr w:rsidR="00C547CB" w14:paraId="5F8BF33B" w14:textId="77777777">
        <w:trPr>
          <w:trHeight w:val="86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FDEAD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26E61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5CBB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BAC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C547CB" w14:paraId="7D7F2358" w14:textId="77777777">
        <w:trPr>
          <w:trHeight w:val="113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FF177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314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3C5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1 16 01063 01 0000 140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3195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6 Кодекса Российской Федерации об 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0D4E0509" w14:textId="77777777">
        <w:trPr>
          <w:trHeight w:val="83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BEEE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677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E4E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3820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C547CB" w14:paraId="02ED65BA" w14:textId="77777777">
        <w:trPr>
          <w:trHeight w:val="803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3E2D8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C2314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CB6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1 16 01083 01 0000 140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161F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1E934FB4" w14:textId="77777777">
        <w:trPr>
          <w:trHeight w:val="83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64487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CEA67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954D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1 16 01133 01 0000 140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8E41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</w:tr>
      <w:tr w:rsidR="00C547CB" w14:paraId="18732E0E" w14:textId="77777777">
        <w:trPr>
          <w:trHeight w:val="1126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655DD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DFCD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88D2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1 16 01143 01 0000 140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157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14 Кодекса Российско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</w:tr>
      <w:tr w:rsidR="00C547CB" w14:paraId="3C4FD465" w14:textId="77777777">
        <w:trPr>
          <w:trHeight w:val="112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BA8EEE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0A01A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E183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1 16 01153 01 0000 140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2F64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</w:tr>
      <w:tr w:rsidR="00C547CB" w14:paraId="73F7F35D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93FA2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F0DE1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436F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1 16 01173 01 0000 140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CDD06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</w:tr>
      <w:tr w:rsidR="00C547CB" w14:paraId="0014A0ED" w14:textId="77777777">
        <w:trPr>
          <w:trHeight w:val="1401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401BDF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9DF6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C3E6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1 16 01183 01 0000 140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28992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</w:tr>
      <w:tr w:rsidR="00C547CB" w14:paraId="28661E4C" w14:textId="77777777">
        <w:trPr>
          <w:trHeight w:val="692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6E536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817B5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4BA0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6694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02B2848B" w14:textId="77777777">
        <w:trPr>
          <w:trHeight w:val="83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51DF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7BEDE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2173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1C5E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C547CB" w14:paraId="42D1467B" w14:textId="77777777">
        <w:trPr>
          <w:trHeight w:val="848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3768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5FA92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A9D5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116 10123 01 0000 140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3C8F5" w14:textId="77777777" w:rsidR="00C547CB" w:rsidRDefault="00BA43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547CB" w14:paraId="585E9C11" w14:textId="77777777">
        <w:trPr>
          <w:trHeight w:val="390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9B09A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48EE91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CC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города Ужура</w:t>
            </w:r>
          </w:p>
        </w:tc>
      </w:tr>
      <w:tr w:rsidR="00C547CB" w14:paraId="39E92390" w14:textId="77777777">
        <w:trPr>
          <w:trHeight w:val="747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962FFD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BC16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71A4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111 05013 13 0000 120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806CA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C547CB" w14:paraId="06B2FECC" w14:textId="77777777">
        <w:trPr>
          <w:trHeight w:val="539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061D49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E486B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D14F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114 06013 13 0000 430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A8811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547CB" w14:paraId="1435718B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58D1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227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624894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72975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114 06313 13 0000 430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E699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Плата за увеличение площади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C547CB" w14:paraId="7B32866C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19100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348CFC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6D2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116 010084 01 0000 140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611B8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</w:t>
            </w:r>
          </w:p>
        </w:tc>
      </w:tr>
      <w:tr w:rsidR="00C547CB" w14:paraId="4CA763A1" w14:textId="77777777">
        <w:trPr>
          <w:trHeight w:val="37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BE17B" w14:textId="77777777" w:rsidR="00C547CB" w:rsidRDefault="00C54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61C7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14883" w:type="dxa"/>
            <w:gridSpan w:val="7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4FC7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 транспорта Красноярского края</w:t>
            </w:r>
          </w:p>
        </w:tc>
      </w:tr>
      <w:tr w:rsidR="00C547CB" w14:paraId="013FADDF" w14:textId="77777777">
        <w:trPr>
          <w:trHeight w:val="844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5E54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92A03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736E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1 16 01193 01 0000 140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2199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</w:tr>
      <w:tr w:rsidR="00C547CB" w14:paraId="4296E801" w14:textId="77777777">
        <w:trPr>
          <w:trHeight w:val="825"/>
        </w:trPr>
        <w:tc>
          <w:tcPr>
            <w:tcW w:w="709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FDFBD6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709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B30095" w14:textId="77777777" w:rsidR="00C547CB" w:rsidRDefault="00BA4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269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302D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1 16 01203 01 0000 140</w:t>
            </w:r>
          </w:p>
        </w:tc>
        <w:tc>
          <w:tcPr>
            <w:tcW w:w="12190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709FC" w14:textId="77777777" w:rsidR="00C547CB" w:rsidRDefault="00BA43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глав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</w:tbl>
    <w:p w14:paraId="324F57F0" w14:textId="77777777" w:rsidR="00C547CB" w:rsidRDefault="00C547CB"/>
    <w:p w14:paraId="28ED6968" w14:textId="77777777" w:rsidR="00C547CB" w:rsidRDefault="00C547CB"/>
    <w:sectPr w:rsidR="00C547CB">
      <w:pgSz w:w="16838" w:h="11906" w:orient="landscape"/>
      <w:pgMar w:top="567" w:right="454" w:bottom="567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0BF9" w14:textId="77777777" w:rsidR="00BA4381" w:rsidRDefault="00BA4381">
      <w:pPr>
        <w:spacing w:after="0" w:line="240" w:lineRule="auto"/>
      </w:pPr>
      <w:r>
        <w:separator/>
      </w:r>
    </w:p>
  </w:endnote>
  <w:endnote w:type="continuationSeparator" w:id="0">
    <w:p w14:paraId="21429FF9" w14:textId="77777777" w:rsidR="00BA4381" w:rsidRDefault="00BA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47CA41" w14:textId="77777777" w:rsidR="00BA4381" w:rsidRDefault="00BA4381">
      <w:pPr>
        <w:spacing w:after="0" w:line="240" w:lineRule="auto"/>
      </w:pPr>
      <w:r>
        <w:separator/>
      </w:r>
    </w:p>
  </w:footnote>
  <w:footnote w:type="continuationSeparator" w:id="0">
    <w:p w14:paraId="56BA7515" w14:textId="77777777" w:rsidR="00BA4381" w:rsidRDefault="00BA43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A0FA3"/>
    <w:multiLevelType w:val="hybridMultilevel"/>
    <w:tmpl w:val="3FA0675C"/>
    <w:lvl w:ilvl="0" w:tplc="C546AA64">
      <w:start w:val="1"/>
      <w:numFmt w:val="decimal"/>
      <w:lvlText w:val="%1."/>
      <w:lvlJc w:val="left"/>
      <w:pPr>
        <w:ind w:left="1080" w:hanging="405"/>
      </w:pPr>
      <w:rPr>
        <w:rFonts w:hint="default"/>
        <w:b w:val="0"/>
        <w:sz w:val="28"/>
        <w:szCs w:val="28"/>
      </w:rPr>
    </w:lvl>
    <w:lvl w:ilvl="1" w:tplc="30A45E9C">
      <w:start w:val="1"/>
      <w:numFmt w:val="lowerLetter"/>
      <w:lvlText w:val="%2."/>
      <w:lvlJc w:val="left"/>
      <w:pPr>
        <w:ind w:left="1755" w:hanging="360"/>
      </w:pPr>
    </w:lvl>
    <w:lvl w:ilvl="2" w:tplc="02ACF0EE">
      <w:start w:val="1"/>
      <w:numFmt w:val="lowerRoman"/>
      <w:lvlText w:val="%3."/>
      <w:lvlJc w:val="right"/>
      <w:pPr>
        <w:ind w:left="2475" w:hanging="180"/>
      </w:pPr>
    </w:lvl>
    <w:lvl w:ilvl="3" w:tplc="5914B09C">
      <w:start w:val="1"/>
      <w:numFmt w:val="decimal"/>
      <w:lvlText w:val="%4."/>
      <w:lvlJc w:val="left"/>
      <w:pPr>
        <w:ind w:left="3195" w:hanging="360"/>
      </w:pPr>
    </w:lvl>
    <w:lvl w:ilvl="4" w:tplc="D244F730">
      <w:start w:val="1"/>
      <w:numFmt w:val="lowerLetter"/>
      <w:lvlText w:val="%5."/>
      <w:lvlJc w:val="left"/>
      <w:pPr>
        <w:ind w:left="3915" w:hanging="360"/>
      </w:pPr>
    </w:lvl>
    <w:lvl w:ilvl="5" w:tplc="77D46C00">
      <w:start w:val="1"/>
      <w:numFmt w:val="lowerRoman"/>
      <w:lvlText w:val="%6."/>
      <w:lvlJc w:val="right"/>
      <w:pPr>
        <w:ind w:left="4635" w:hanging="180"/>
      </w:pPr>
    </w:lvl>
    <w:lvl w:ilvl="6" w:tplc="B2305CD4">
      <w:start w:val="1"/>
      <w:numFmt w:val="decimal"/>
      <w:lvlText w:val="%7."/>
      <w:lvlJc w:val="left"/>
      <w:pPr>
        <w:ind w:left="5355" w:hanging="360"/>
      </w:pPr>
    </w:lvl>
    <w:lvl w:ilvl="7" w:tplc="C3866450">
      <w:start w:val="1"/>
      <w:numFmt w:val="lowerLetter"/>
      <w:lvlText w:val="%8."/>
      <w:lvlJc w:val="left"/>
      <w:pPr>
        <w:ind w:left="6075" w:hanging="360"/>
      </w:pPr>
    </w:lvl>
    <w:lvl w:ilvl="8" w:tplc="A7469D00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7CB"/>
    <w:rsid w:val="00963930"/>
    <w:rsid w:val="00BA4381"/>
    <w:rsid w:val="00C5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17529"/>
  <w15:docId w15:val="{58A24521-9F1C-4E50-81BA-0EC88BD4E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basedOn w:val="a0"/>
    <w:uiPriority w:val="99"/>
    <w:semiHidden/>
    <w:unhideWhenUsed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xl65">
    <w:name w:val="xl6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9">
    <w:name w:val="xl69"/>
    <w:basedOn w:val="a"/>
    <w:pPr>
      <w:spacing w:before="100" w:beforeAutospacing="1" w:after="100" w:afterAutospacing="1" w:line="240" w:lineRule="auto"/>
      <w:ind w:firstLine="280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92">
    <w:name w:val="xl9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3">
    <w:name w:val="xl9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95">
    <w:name w:val="xl95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32"/>
      <w:szCs w:val="32"/>
      <w:u w:val="single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f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B0D2DA33562783D1EBFDFBA55FEE80DF2E7C8194F95F550831FF9DA58AA5D6F68735C2D4032ICz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6138C-D3C7-44DA-9061-94D776FE4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9108</Words>
  <Characters>51920</Characters>
  <Application>Microsoft Office Word</Application>
  <DocSecurity>0</DocSecurity>
  <Lines>432</Lines>
  <Paragraphs>121</Paragraphs>
  <ScaleCrop>false</ScaleCrop>
  <Company>HP</Company>
  <LinksUpToDate>false</LinksUpToDate>
  <CharactersWithSpaces>60907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Филатова</dc:creator>
  <cp:keywords/>
  <dc:description/>
  <cp:lastModifiedBy>Ростовцев Артём Вячеславович</cp:lastModifiedBy>
  <cp:revision>2</cp:revision>
  <dcterms:created xsi:type="dcterms:W3CDTF">2024-01-19T00:47:00Z</dcterms:created>
  <dcterms:modified xsi:type="dcterms:W3CDTF">2024-01-19T00:47:00Z</dcterms:modified>
</cp:coreProperties>
</file>