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2D3F24" w:rsidRDefault="006A76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Пояснительная записка к Прогнозу СЭР МО</w:t>
      </w:r>
    </w:p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2D3F24" w:rsidRDefault="006A76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1. Общие сведения о муниципальном образовании</w:t>
      </w:r>
    </w:p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 основан 4 апреля 1924 года и  является административно - территориальным образованием, входящим в состав Красноярского края Российской Федерации.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 расположен на юге Красноярского края, к юго-западу от краевого центра и граничит с республикой Хакасия, Новоселовским,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Балахтинским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Шарыповским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и Назаровским  районами Красноярского края. Протяженность с севера на юг около 65 км, с запада на восток -75 км.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Муниципальное образование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 (далее –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район) Законом края от 18.02.2005 № 13-3028 «Об установлении границ и наделении соответствующим статусом муниципального образования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 и находящихся в его границах иных муниципальных образований» наделено статусом муниципального района. Кроме того, указанным Законом края образовано муниципальное образование город Ужур, которое наделено статусом городского поселения и установлены его границы, а также установлены границы и наделены статусом сельских поселений 12 муниципальных образований, входящих в состав муниципального района: Васильевский,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Златоруновский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, Ильинский, Крутоярский,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Кулунский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Локшинский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Малоимышский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, Михайловский,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Озероучумский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Прилужский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Приреченский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Солгонский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сельсоветы. Административным центром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определен город Ужур. По состоянию на 01.01.2014г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на территории района расположен 51 населенный пункт, в которых проживает 31981 человек, из них 16498 человек в сельской местности.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3 населенных пунктах численность жителей превышает 1 тыс. человек, в 11 – менее 100 человек. Самыми крупными по количеству жителей являются город Ужур (15483  человек), Крутоярский (3 108 человек),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Солгонский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(2 378 человек) 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Малоимышский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(1786 человек) сельсоветы.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Самыми малочисленными – Васильевский (110 человек), Михайловский (800 человек),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Прилужский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(877 человек), Ильинский (852 человек) 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Озероучумский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(920человек) сельсоветы.</w:t>
      </w:r>
      <w:proofErr w:type="gramEnd"/>
    </w:p>
    <w:p w:rsidR="002D3F24" w:rsidRDefault="006A76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8"/>
          <w:szCs w:val="28"/>
        </w:rPr>
        <w:t>Малонаселенные пункты с численностью меньше 100 человек: п. 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Марьясово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, п. 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Учум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, Отделение бригады №2, д. Сосновка, д. Ельничная, д. 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Парилово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, д. Набережная, п. Тальники, д.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Косоголь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, с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.В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асильевка,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д.Баит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, д. Красное Озеро,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д.Камышта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2D3F24" w:rsidRDefault="006A76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2. Промышленность</w:t>
      </w:r>
    </w:p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Производство промышленной продукции на территории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Ужурского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района в отчѐтном периоде представлено следующими видами экономической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деятельности: обрабатывающие производства, обеспечение электрической энергией, газом и паром, водоснабжение, водоотведение, организация сбора и утилизации отходов, сельское хозяйство.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Наиболее крупные сельскохозяйственные предприятия, осуществляющие свою деятельность на территории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Ужурского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района и определяющие развитие данной отрасли: АО «Искра, АО «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Солгон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», СПК «Андроновский». 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2019 году промышленное производство осуществлялось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ООО «Горячий хлеб», ООО «Объединение столовых», ООО «РТП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Технозона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», </w:t>
      </w:r>
      <w:r>
        <w:rPr>
          <w:rFonts w:ascii="Times New Roman CYR" w:hAnsi="Times New Roman CYR" w:cs="Times New Roman CYR"/>
          <w:sz w:val="28"/>
          <w:szCs w:val="28"/>
        </w:rPr>
        <w:t>ООО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Вторметальянс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».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2019 году произведено промышленной продукции (по разделам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А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, C, D, E) на сумму 7513,99 млн. рублей или 118,76 % в действующих ценах к уровню 2018 года. 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Основным фактором роста промышленного производства в 2019 году остается деятельность сельскохозяйственных предприятий.  Объем отгруженных товаров собственного производства показывает рост производства продукции по сравнению с предыдущим периодом.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 этом индекс производства в сельском хозяйстве по растениеводству и животноводству составил 103,4 % (2018 год – 104,2 %). 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Индексы производства в растениеводстве и животноводстве показывают снижение производства продукции по сравнению с предыдущим периодом.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2019 году также  наблюдается снижение объемов производства по виду деятельности «обрабатывающее производства», уменьшение произошло в связи с ликвидацией МП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хлебозавод». 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2019 году наблюдается увеличение объемов производства (в действующих ценах к предыдущему году) по таким видам деятельности, как: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«водоснабжение; водоотведение, организация сбора и утилизации отходов,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деятельность по ликвидации загрязнений» - на 42,44 %, увеличение объѐмов производства за счет расширения охвата частных домовладений, подключенных к централизованным системам водоснабжения, водоотведения, к 2023 году прогнозируется увеличение объѐма производства по данному виду деятельности на 18,9 % в действующих ценах к уровню 2019 года;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«обеспечение электрической энергией, газом и паром» - на 4,71 %, увеличение объема производства произошло в результате проведѐнных мероприятий, направленных на эффективное использование энергоресурсов, к 2023 году ожидается  увеличение объѐма производства на 16,87 % в действующих ценах к уровню 2019 года.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Снижение объѐмов производства (в натуральном выражении) наблюдается по следующим видам экономической деятельности: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- «производство пищевых продуктов» - на 1,5 %, уменьшение производства хлеба и хлебобулочных изделий, по причине прекращения деятельности </w:t>
      </w:r>
      <w:r>
        <w:rPr>
          <w:rFonts w:ascii="Times New Roman CYR" w:hAnsi="Times New Roman CYR" w:cs="Times New Roman CYR"/>
          <w:sz w:val="28"/>
          <w:szCs w:val="28"/>
        </w:rPr>
        <w:t>МП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хлебозавод», в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прогнозном периоде планируется поэтапное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увеличение объѐма производства пищевых продуктов за счѐт увеличения мощностей пекарни АО «Искра», АО «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Солгон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» по производству хлеба и хлебобулочной продукции;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- «деятельность полиграфическая и копирование носителей информации» (на 1,6 %), что обусловлено снижением спроса на бланочную продукцию и печатные издания. 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Увеличение объѐмов производства (в натуральном выражении) наблюдается по «производству готовых металлических изделий, кроме машин и оборудования» - на 4,3 %, за счет расширения рынка сбыта производимой продукции.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Рост объемов производства в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Ужурском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районе был обусловлен, прежде всего, увеличением объемов сельскохозяйственной деятельности, увеличением объемов обрабатывающих производств. 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Основными проблемами промышленных предприятий района остаются высокая энергоемкость производства, не высокая конкурентоспособность продукции.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прогнозном периоде 2021 -2023 годы в сельском хозяйстве, в обрабатывающем производстве в целом, намечена устойчивая тенденция к увеличению продукции в натуральном выражении при положительной динамике роста. Индекс производства продукции сельского хозяйства (по второму варианту) планируется в 2021 г. –100,08 %, в 2022 г. – 100,89 % , в 2023 г. – 101,08 %. 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Индекс производства обрабатывающего производства (по второму варианту) составит в 2021 г. – 100,10 %, в 2022 г. – 100,15 % и в 2023 г. – 100,20 %.</w:t>
      </w:r>
    </w:p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16"/>
          <w:szCs w:val="16"/>
        </w:rPr>
      </w:pPr>
    </w:p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2D3F24" w:rsidRDefault="006A76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3. Сельское хозяйство</w:t>
      </w:r>
    </w:p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Сельское хозяйство является основополагающим сектором экономики района. Агроклиматические условия для развития сельскохозяйственного производства характеризуются как благоприятные. Агропромышленный комплекс является крупным и важным сектором экономики района. 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 территории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зарегистрировано 28 предприятий, занятых производством сельскохозяйственной продукции. Из них: 3 акционерных общества, 1 государственное предприятие, 1 сельскохозяйственный производственный кооператив,   20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крестьянско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- фермерских хозяйств, 3 общества с ограниченной ответственностью.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Структура  сельскохозяйственного  производства  за последние три года практически не изменилась. В настоящее время в общем объеме производства продукции сельского хозяйства растениеводство занимает 52,7%, животноводство – 47,3%. Доля личных подсобных хозяйств – на уровне 12,8%,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что обеспечивает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самозанятость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местного населения. 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lastRenderedPageBreak/>
        <w:t>Среднесписочная численность работников организаций сельского хозяйства за период 2018-2019 годы уменьшилась на 5,1% и составила 3105 человек в 2018 году - 3271 человек).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Уменьшение численности работников, занятых в сельском хозяйстве, объясняется усовершенствованием технологических процессов, модернизацией рабочих мест. Прогнозируется сохранение численности работающих до 2021 года, что позволит расширить производство за счет внедрения новых технологий без привлечения в отрасль новой рабочей силы.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Среднемесячная заработная плата работников сельского хозяйства в 2018 году была на уровне 33593 рублей, в 2019 году – 39933 рублей, что составляет увеличение на 18,9 %. Увеличение среднемесячной зарплаты к 2023 году до  40500 рублей (на 1,4 % к уровню 2019 года) возможно за счет внедрения новых передовых технологий и увеличения объемов сельскохозяйственного производства без увеличения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численности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работающих в отрасли.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Сельхозпроизводителями в 2019 году получена прибыль в размере 1558873,0 тыс. рублей, на 125,6 % больше, чем в предыдущем году.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Полученную прибыль сельскохозяйственные предприятия направляют на развитие своих предприятий, улучшение условий жизни и труда работающих,  приобретение энергосберегающей передовой техники и внедрение новых технологий.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Ожидаемое производство основных видов продукции: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/>
      </w:tblPr>
      <w:tblGrid>
        <w:gridCol w:w="3969"/>
        <w:gridCol w:w="1471"/>
        <w:gridCol w:w="1374"/>
        <w:gridCol w:w="1306"/>
        <w:gridCol w:w="1126"/>
      </w:tblGrid>
      <w:tr w:rsidR="002D3F24">
        <w:tc>
          <w:tcPr>
            <w:tcW w:w="39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F24" w:rsidRDefault="002D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2020 год </w:t>
            </w:r>
            <w:proofErr w:type="gramStart"/>
            <w:r>
              <w:rPr>
                <w:rFonts w:ascii="Times New Roman CYR" w:hAnsi="Times New Roman CYR" w:cs="Times New Roman CYR"/>
              </w:rPr>
              <w:t>ожидаемое</w:t>
            </w:r>
            <w:proofErr w:type="gramEnd"/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2021 год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2022 год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2023 год</w:t>
            </w:r>
          </w:p>
        </w:tc>
      </w:tr>
      <w:tr w:rsidR="002D3F24">
        <w:tc>
          <w:tcPr>
            <w:tcW w:w="39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Производство валовой продукции сельского хозяйства, всего  тыс</w:t>
            </w:r>
            <w:proofErr w:type="gramStart"/>
            <w:r>
              <w:rPr>
                <w:rFonts w:ascii="Times New Roman CYR" w:hAnsi="Times New Roman CYR" w:cs="Times New Roman CYR"/>
              </w:rPr>
              <w:t>.р</w:t>
            </w:r>
            <w:proofErr w:type="gramEnd"/>
            <w:r>
              <w:rPr>
                <w:rFonts w:ascii="Times New Roman CYR" w:hAnsi="Times New Roman CYR" w:cs="Times New Roman CYR"/>
              </w:rPr>
              <w:t>уб.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8791185,0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9202978,0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9661377,0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10218605,0</w:t>
            </w:r>
          </w:p>
        </w:tc>
      </w:tr>
      <w:tr w:rsidR="002D3F24">
        <w:tc>
          <w:tcPr>
            <w:tcW w:w="39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 том числе: растениеводство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4637433,0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4860689,0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5109355,0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5410893,0</w:t>
            </w:r>
          </w:p>
        </w:tc>
      </w:tr>
      <w:tr w:rsidR="002D3F24">
        <w:tc>
          <w:tcPr>
            <w:tcW w:w="39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                     животноводство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4153752,0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4342288,0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4552022,0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4807712,0</w:t>
            </w:r>
          </w:p>
        </w:tc>
      </w:tr>
      <w:tr w:rsidR="002D3F24">
        <w:tc>
          <w:tcPr>
            <w:tcW w:w="39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F24" w:rsidRDefault="002D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F24" w:rsidRDefault="002D3F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F24" w:rsidRDefault="002D3F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F24" w:rsidRDefault="002D3F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3F24" w:rsidRDefault="002D3F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2D3F24">
        <w:tc>
          <w:tcPr>
            <w:tcW w:w="39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Из продукции растениеводства –                   зерно, </w:t>
            </w:r>
            <w:proofErr w:type="gramStart"/>
            <w:r>
              <w:rPr>
                <w:rFonts w:ascii="Times New Roman CYR" w:hAnsi="Times New Roman CYR" w:cs="Times New Roman CYR"/>
              </w:rPr>
              <w:t>т</w:t>
            </w:r>
            <w:proofErr w:type="gramEnd"/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454622,0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458241,0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462312,0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467288,0</w:t>
            </w:r>
          </w:p>
        </w:tc>
      </w:tr>
      <w:tr w:rsidR="002D3F24">
        <w:tc>
          <w:tcPr>
            <w:tcW w:w="39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F24" w:rsidRDefault="002D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F24" w:rsidRDefault="002D3F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F24" w:rsidRDefault="002D3F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F24" w:rsidRDefault="002D3F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3F24" w:rsidRDefault="002D3F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2D3F24">
        <w:tc>
          <w:tcPr>
            <w:tcW w:w="39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Из продукции животноводства –                молоко, </w:t>
            </w:r>
            <w:proofErr w:type="gramStart"/>
            <w:r>
              <w:rPr>
                <w:rFonts w:ascii="Times New Roman CYR" w:hAnsi="Times New Roman CYR" w:cs="Times New Roman CYR"/>
              </w:rPr>
              <w:t>т</w:t>
            </w:r>
            <w:proofErr w:type="gramEnd"/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68862,0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69410,0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70026,0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70780,0</w:t>
            </w:r>
          </w:p>
        </w:tc>
      </w:tr>
      <w:tr w:rsidR="002D3F24">
        <w:tc>
          <w:tcPr>
            <w:tcW w:w="39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                                                    мясо в живом весе, </w:t>
            </w:r>
            <w:proofErr w:type="gramStart"/>
            <w:r>
              <w:rPr>
                <w:rFonts w:ascii="Times New Roman CYR" w:hAnsi="Times New Roman CYR" w:cs="Times New Roman CYR"/>
              </w:rPr>
              <w:t>т</w:t>
            </w:r>
            <w:proofErr w:type="gramEnd"/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12627,0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12727,0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12839,0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12979,0</w:t>
            </w:r>
          </w:p>
        </w:tc>
      </w:tr>
      <w:tr w:rsidR="002D3F24">
        <w:tc>
          <w:tcPr>
            <w:tcW w:w="39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F24" w:rsidRDefault="002D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F24" w:rsidRDefault="002D3F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F24" w:rsidRDefault="002D3F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F24" w:rsidRDefault="002D3F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3F24" w:rsidRDefault="002D3F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</w:tbl>
    <w:p w:rsidR="002D3F24" w:rsidRDefault="006A76D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</w:t>
      </w:r>
    </w:p>
    <w:p w:rsidR="00A77C83" w:rsidRDefault="006A7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За период 2021-2023 годы ожидается увеличение производства продукции в натуральном выражении. </w:t>
      </w:r>
    </w:p>
    <w:p w:rsidR="002D3F24" w:rsidRDefault="006A76DA" w:rsidP="00A77C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Увеличение производства может быть достигнуто за счет внедрения новой техники и передовых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технологий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 как в растениеводстве, так и в животноводстве. В растениеводстве  это влечет за собой повышение урожайности возделываемых культур, улучшение  качества продукции, в животноводстве –  увеличение продуктивности сельскохозяйственных животных, их сохранность. </w:t>
      </w:r>
    </w:p>
    <w:p w:rsidR="00A77C83" w:rsidRDefault="006A76DA" w:rsidP="00A77C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Индексы производства в растениеводстве и животноводстве показывают динамику роста производства продукции по сравнению с предыдущим периодом.</w:t>
      </w:r>
    </w:p>
    <w:p w:rsidR="00A77C83" w:rsidRDefault="006A76DA" w:rsidP="00A77C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В целом по сельскому хозяйству намечена устойчивая тенденция к увеличению продукции в натуральном выражении при положительной динамике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роста.</w:t>
      </w:r>
    </w:p>
    <w:p w:rsidR="00A77C83" w:rsidRDefault="006A76DA" w:rsidP="00A77C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 2023 году производство  продукции сельского хозяйства планируется увеличить в натуральном выражении в среднем   на 3,3 %  по отношению к 2019 году.</w:t>
      </w:r>
    </w:p>
    <w:p w:rsidR="002D3F24" w:rsidRDefault="006A76DA" w:rsidP="00A77C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Соблюдение высокой культуры земледелия и технологии содержания сельскохозяйственных животных позволит сохранить и увеличить процесс постоянного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роста производства основных видов продукции сельского хозяйства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2D3F24" w:rsidRDefault="006A76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3.1. Растениеводство</w:t>
      </w:r>
    </w:p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Посевная площадь в 2019 году составила 158620 га, в т.ч. под зерновыми -118900 га  (в 2018 году – 156920 га, в т.ч. под зерновыми -122952 га).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Таким образом, в 2019 году общая посевная площадь увеличилась на 1,1 %, под зерновыми культурами уменьшилась – на 3,3%.  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целом, в сельскохозяйственных организациях района за последние три года наблюдается увеличение издержек на производство зерна. Основным стимулом к снижению издержек могут послужить разработанные условия предоставления государственной поддержки на производство зерна, направленные на увеличение объемов и снижение производственных затрат. Прогнозируется рентабельность сельскохозяйственного производства с учетом субсидий к 2023 году – 15,9%. 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районе в 2019 году было произведено 9795,5 т картофеля, что на 5,9 %  больше, чем в 2018 году, урожайность картофеля за период 2018-2019 годы увеличилась на 13,8 %. </w:t>
      </w:r>
    </w:p>
    <w:p w:rsidR="002D3F24" w:rsidRDefault="006A76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Производство овощей в 2019 году составило 1303,8 т, на 9,2% меньше, чем в предыдущем году. </w:t>
      </w:r>
    </w:p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A77C83" w:rsidRDefault="00A77C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2D3F24" w:rsidRDefault="006A76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3.2 Животноводство</w:t>
      </w:r>
    </w:p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области животноводства  по сравнению с предыдущим годом наблюдается увеличение поголовья крупного рогатого скота. Так, поголовье КРС в 2019 году составило 32200 голов (увеличение на 3,8 %), в том числе, уменьшение на 1,0 % по сравнению с предыдущим годом.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2020 году и в перспективе до 2023 года прогнозируется увеличение поголовья крупного рогатого скота и поголовья коров на 3,3% к уровню 2019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года. Надой на одну фуражную корову к 2023 году прогнозируется увеличить до 8543 кг.</w:t>
      </w:r>
    </w:p>
    <w:p w:rsidR="00A77C83" w:rsidRDefault="006A76DA" w:rsidP="00A77C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 другим видам скота в 2019 году произошло увеличение поголовья к уровню 2019 года, свиней уменьшение на 8,0 %. </w:t>
      </w:r>
    </w:p>
    <w:p w:rsidR="002D3F24" w:rsidRDefault="006A76DA" w:rsidP="00A77C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перспективе до 2023 года за счет поголовья личных подсобных хозяй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ств пр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огнозируется увеличить поголовье: овец на 3,3% к уровню 2019 года, поголовье свиней – на 0,3%.</w:t>
      </w:r>
    </w:p>
    <w:p w:rsidR="00A77C83" w:rsidRPr="00A77C83" w:rsidRDefault="00A77C83" w:rsidP="00A77C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D3F24" w:rsidRDefault="006A76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4. Строительство</w:t>
      </w:r>
    </w:p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2019 году на территории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введены в эксплуатацию 43 объекта капитального строительства, из них, объекты гражданского и производственного назначения составляют 18,61% - 8 ед. В том числе:</w:t>
      </w:r>
    </w:p>
    <w:p w:rsidR="002D3F24" w:rsidRDefault="006A76D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- 4 объекта торговли в п.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Златоруновск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и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г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. Ужур общей площадью 1326,00 кв.м.;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rPr>
          <w:rFonts w:ascii="Calibri" w:hAnsi="Calibri" w:cs="Calibri"/>
          <w:sz w:val="24"/>
          <w:szCs w:val="24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дезбарьер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в с.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Солгон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площадью166,70 кв.м.;</w:t>
      </w:r>
    </w:p>
    <w:p w:rsidR="002D3F24" w:rsidRDefault="006A76D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 пищеблок к зданию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Кулунской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ООШ общей площадью 252,00 кв.м.;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24"/>
          <w:szCs w:val="24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 реконструированные два санаторных корпуса с пристройкой к ним санаторного корпуса с актовым залом в п. Озеро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Учум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 пристраиваемой площадью 2944,10 кв.м.;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здание склада в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г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. Ужур площадью 18,10 кв.м..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основном все объекты жилищного строительства строятся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хозспособом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, а объекты производственного назначения подрядным способом.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Относительный уровень качества строительства в районе за отчетный период по сравнению с предыдущим не снизился.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2020 году планируется строительство следующих объектов гражданского и производственного назначения:</w:t>
      </w:r>
    </w:p>
    <w:p w:rsidR="002D3F24" w:rsidRDefault="006A76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склад в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г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. Ужур площадью 132,90 кв.м.;</w:t>
      </w:r>
    </w:p>
    <w:p w:rsidR="002D3F24" w:rsidRDefault="006A76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- 7 объектов торговли в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г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. Ужур общей площадью 2919,59 кв.м.;</w:t>
      </w:r>
    </w:p>
    <w:p w:rsidR="002D3F24" w:rsidRDefault="006A76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 реконструированное, административное здание в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г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. Ужур площадью 126,4 кв.м.;</w:t>
      </w:r>
    </w:p>
    <w:p w:rsidR="002D3F24" w:rsidRDefault="006A76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дом рыбака на территории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Кулунского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сельсовета площадью 32,80 кв.м.;</w:t>
      </w:r>
    </w:p>
    <w:p w:rsidR="002D3F24" w:rsidRDefault="006A76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нежилое здание молочного цеха общей площадью 912,00 кв.м.</w:t>
      </w:r>
    </w:p>
    <w:p w:rsidR="002D3F24" w:rsidRDefault="006A76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Объем строительно-монтажных работ, выполненных подрядным способом по полному кругу организаций, составил 45768,26 тыс. руб.</w:t>
      </w:r>
    </w:p>
    <w:p w:rsidR="002D3F24" w:rsidRDefault="002D3F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D3F24" w:rsidRDefault="006A76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4.1. Жилищное строительство</w:t>
      </w:r>
    </w:p>
    <w:p w:rsidR="00A77C83" w:rsidRDefault="00A77C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За 2019 год в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Ужурском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районе введено в эксплуатацию 35 индивидуальных жилых домов общей площадью 4218,80 кв.м. По сравнению с предыдущим годом темп строительства снизился на 31,43%.</w:t>
      </w:r>
    </w:p>
    <w:p w:rsidR="002D3F24" w:rsidRDefault="006A76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lastRenderedPageBreak/>
        <w:t>В 2020-2021 годах по сравнению с 2019 годом ожидается увеличение темпов роста жилищного строительства, в связи с выделением бюджетных ассигнований на реализацию государственной программы «Развитие сельского хозяйства и регулирование рынков сельскохозяйственной продукции, сырья и продовольствия на 2013 - 2020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годы» и региональной адресной программы "Переселение граждан из аварийного жилищного фонда в Красноярском крае" на 2019-2025 годы. </w:t>
      </w:r>
      <w:proofErr w:type="gramEnd"/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highlight w:val="yellow"/>
        </w:rPr>
      </w:pPr>
      <w:r>
        <w:rPr>
          <w:rFonts w:ascii="Times New Roman CYR" w:hAnsi="Times New Roman CYR" w:cs="Times New Roman CYR"/>
          <w:sz w:val="28"/>
          <w:szCs w:val="28"/>
        </w:rPr>
        <w:t>В прогнозируемом периоде ввод жилья по первому варианту планируется в следующих  объемах: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- 2020г. – 6000,00 кв.м.;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- 2021г. – 6800,00 кв.м.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- 2022г. – 5000,00 кв.м.;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- 2023г. – 5500,00 кв.м.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Главными источниками финансирования индивидуального жилищного строительства являются собственные средства населения и кредиты банков. 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первом полугодии 2020 года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введены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в эксплуатацию: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 индивидуальные жилые дома, общей площадью 993,50 кв.м.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реконструированный блокированный жилой дом (квартира 1)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в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с.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Кулун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площадью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пристроя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42,40 кв.м.;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двухвартирный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жилой дом в д.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Изыкчуль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(АО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Солгон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») площадью 190,2 кв.м.;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F243E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 xml:space="preserve">дом рыбака на территории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Кулунского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сельсовета площадью 32,80 кв.м.;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color w:val="0F243E"/>
          <w:sz w:val="28"/>
          <w:szCs w:val="28"/>
        </w:rPr>
      </w:pPr>
      <w:r>
        <w:rPr>
          <w:rFonts w:ascii="Times New Roman CYR" w:hAnsi="Times New Roman CYR" w:cs="Times New Roman CYR"/>
          <w:color w:val="0F243E"/>
          <w:sz w:val="28"/>
          <w:szCs w:val="28"/>
        </w:rPr>
        <w:t xml:space="preserve">- объекты торговли в </w:t>
      </w:r>
      <w:proofErr w:type="gramStart"/>
      <w:r>
        <w:rPr>
          <w:rFonts w:ascii="Times New Roman CYR" w:hAnsi="Times New Roman CYR" w:cs="Times New Roman CYR"/>
          <w:color w:val="0F243E"/>
          <w:sz w:val="28"/>
          <w:szCs w:val="28"/>
        </w:rPr>
        <w:t>г</w:t>
      </w:r>
      <w:proofErr w:type="gramEnd"/>
      <w:r>
        <w:rPr>
          <w:rFonts w:ascii="Times New Roman CYR" w:hAnsi="Times New Roman CYR" w:cs="Times New Roman CYR"/>
          <w:color w:val="0F243E"/>
          <w:sz w:val="28"/>
          <w:szCs w:val="28"/>
        </w:rPr>
        <w:t>. Ужур площадью 1509,85 кв.м.</w:t>
      </w:r>
    </w:p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2D3F24" w:rsidRDefault="006A76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5. Инвестиции</w:t>
      </w:r>
    </w:p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Объем инвестиций в основной капитал за счет всех источников финансирования без субъектов малого предпринимательства и параметров неформальной деятельности в 2019 году составил 984025,0 тыс. руб., что в действующих ценах к 2018 году составляет 81,44 %, в сопоставимых ценах – 77,08 % к этому же периоду. По оценке, в 2020 году данный  показатель составит 1088306,13 тыс. руб., или 110,60 % в действующих и 105,83 % в сопоставимых ценах к уровню прошлого года. В 2021 году он  прогнозируется в сумме 1287368,21 тыс. руб.,  в 2022 году – 1344012,41 тыс. руб., в 2023 году – 1401804,94 тыс. руб. что в сопоставимых ценах к уровню предшествующего года этот показатель составит также 113,31 % , 100,10%  и 100,10 % соответственно. Темп роста инвестиций в основной капитал в действующих ценах к предшествующему периоду прогнозируется в 2021 году – 118,29 %, в 2022 – 104,4%, в 2023 году – 104,3%.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Объем инвестиций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в</w:t>
      </w:r>
      <w:r>
        <w:rPr>
          <w:rFonts w:ascii="Times New Roman CYR" w:hAnsi="Times New Roman CYR" w:cs="Times New Roman CYR"/>
          <w:sz w:val="28"/>
          <w:szCs w:val="28"/>
        </w:rPr>
        <w:t xml:space="preserve"> районе определяется, в первую очередь, реализацией инвестиционных проектов предприятиями агропромышленного комплекса.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Удельный вес инвестиций сельского хозяйства занимает в 2019 году – 74,85 %  в общем объеме инвестиций по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Ужурскому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району.  В отчетном году объем инвестиций в основной капитал за счет всех источников финансирования (без субъектов малого предпринимательства) в этой сфере составил  736503 тыс. руб., что в действующих ценах к 2018 году составляет 98,39 %, и в сопоставимых ценах – 93,12 %.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Причиной снижения объема инвестиций в основной капитал  послужило завершение инвестиционных проектов в сельхозпредприятиях. В том числе: в 2018 году АО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Солгон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»  завершено строительство цеха по переработке молока  (5820 кг в смену), АО «Искра» реализованы инвестиционные  проекты по расширению свинофермы на 8800 голов и строительству молокоперерабатывающего цеха (30 т в сутки).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Объем инвестиций за счет бюджетных средств  в  2019 году выразился в сумме 48647,0 тыс. руб., или 69,87 % в действующих ценах к уровню 2018 года  Причиной снижения показателя в отчетном году явилось окончание у строительства модульной котельной  в с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.М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алый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Имыш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, а также ввод в эксплуатацию плоскостного спортивного сооружения «Стадион Локомотив».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В 2019 году в районе начато строительство нового здания МБО ДО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Ужурская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спортивная школа». Кроме того, законом края о бюджете на 2020 год и плановый период 2021-2022 годов предусмотрено строительство детского сада на 190 мест в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г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. Ужур. В связи с этим в планируемом периоде на территории ожидается рост инвестиций за счет бюджетных источников. 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2020 году инвестиции в основной капитал за счет бюджетных сре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дств пр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огнозируются в размере 110836,12 тыс. руб., в 2021 – 264934,58 тыс. руб.,  в 2022 – 276591,70  тыс. руб., в 2023 -  288485,14 тыс. руб.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Объем инвестиций в основной капитал за счет собственных средств организаций (без субъектов малого предпринимательства и неформальной деятельности) составил  730605 тыс. руб., или 77,45 % в действующих ценах к уровню 2018 года. В 2020 году инвестиции в основной капитал за счет собственных сре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дств  пр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огнозируются в размере 763482,23 тыс. руб., в 2021 – 798602,41  тыс. руб.,  в 2022 -  833740,91 тыс. руб., в 2023 – 869591,77 тыс. руб. Привлеченные средства, напротив, снизились на 4,35 %  и выразились в отчетном году  в сумме 253420,0 тыс. руб.  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Сохраняется рост доли предприятий, направляющих инвестиции в приобретение машин и оборудования (44,5%). Доля инвестиций субъектов малого предпринимательства составляет около 2,78 % от общего объема инвестиций (28130,69 тыс. руб.) и в динамике сохраняется в таком же размере по прогнозу до 2023 года.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Объем инвестиций в основной капитал (за исключением бюджетных средств) в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Ужурском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районе в расчете на одного жителя в 2019 году выразился в сумме 30319,21 тыс. руб., что составляет 83,25 % от значения данного показателя в 2018 году (36419,15 тыс. руб.). В прогнозируемом периоде: в 2020 году этот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показатель ожидается на уровне 32113,48 тыс. руб. (или 105,92 % к уровню предыдущего года), в 2021 – 33891,33 тыс. руб. (105,54%),  в 2022 – 35667,48 тыс.  руб. (105,24%), в 2023 – 37450,21 тыс. руб. (105,0 %).</w:t>
      </w:r>
    </w:p>
    <w:p w:rsidR="002D3F24" w:rsidRDefault="006A76DA">
      <w:pPr>
        <w:widowControl w:val="0"/>
        <w:tabs>
          <w:tab w:val="left" w:pos="65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Инвестиционные проекты: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5"/>
        <w:gridCol w:w="1701"/>
        <w:gridCol w:w="5245"/>
        <w:gridCol w:w="2126"/>
      </w:tblGrid>
      <w:tr w:rsidR="002D3F24">
        <w:trPr>
          <w:trHeight w:val="40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24" w:rsidRDefault="006A76DA">
            <w:pPr>
              <w:widowControl w:val="0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Наименование инвестора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24" w:rsidRDefault="006A76DA">
            <w:pPr>
              <w:widowControl w:val="0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Наименование проекта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24" w:rsidRDefault="006A76DA">
            <w:pPr>
              <w:widowControl w:val="0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Стоимость/освоено,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млн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уб</w:t>
            </w:r>
            <w:proofErr w:type="spellEnd"/>
          </w:p>
        </w:tc>
      </w:tr>
      <w:tr w:rsidR="002D3F24">
        <w:trPr>
          <w:trHeight w:val="138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24" w:rsidRDefault="006A76DA">
            <w:pPr>
              <w:widowControl w:val="0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  <w:p w:rsidR="002D3F24" w:rsidRDefault="002D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24" w:rsidRDefault="006A76DA">
            <w:pPr>
              <w:widowControl w:val="0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Солгон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24" w:rsidRDefault="006A76DA">
            <w:pPr>
              <w:widowControl w:val="0"/>
              <w:shd w:val="clear" w:color="auto" w:fill="FFFFFF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1.Строительство цеха по переработке, молока, (производственная мощность 1 800 тонн переработанного молока в год) начало реализации проекта  декабрь 2016 г, срок введения в эксплуатацию - сентябрь 2019 г. </w:t>
            </w:r>
          </w:p>
          <w:p w:rsidR="002D3F24" w:rsidRDefault="006A76DA">
            <w:pPr>
              <w:widowControl w:val="0"/>
              <w:shd w:val="clear" w:color="auto" w:fill="FFFFFF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Создано 20 рабочих мест.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24" w:rsidRDefault="006A76DA">
            <w:pPr>
              <w:widowControl w:val="0"/>
              <w:shd w:val="clear" w:color="auto" w:fill="FFFFFF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178,5 /178,5</w:t>
            </w:r>
          </w:p>
        </w:tc>
      </w:tr>
      <w:tr w:rsidR="002D3F24">
        <w:trPr>
          <w:trHeight w:val="41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24" w:rsidRDefault="006A76DA">
            <w:pPr>
              <w:widowControl w:val="0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  <w:p w:rsidR="002D3F24" w:rsidRDefault="002D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2D3F24" w:rsidRDefault="002D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24" w:rsidRDefault="006A76DA">
            <w:pPr>
              <w:widowControl w:val="0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Солгон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24" w:rsidRDefault="006A76DA">
            <w:pPr>
              <w:widowControl w:val="0"/>
              <w:shd w:val="clear" w:color="auto" w:fill="FFFFFF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2.Строительство молочного комплекса на 400 голов (производственная мощность 1 400 тонн молока в год), начало реализации проекта апрель 2019 г, срок введения в эксплуатацию – октябрь 2021 г.</w:t>
            </w:r>
          </w:p>
          <w:p w:rsidR="002D3F24" w:rsidRDefault="006A76DA">
            <w:pPr>
              <w:widowControl w:val="0"/>
              <w:shd w:val="clear" w:color="auto" w:fill="FFFFFF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Количество планируемых рабочих мест по итогам реализации проекта -15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24" w:rsidRDefault="006A76DA">
            <w:pPr>
              <w:widowControl w:val="0"/>
              <w:shd w:val="clear" w:color="auto" w:fill="FFFFFF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100,0 /50,6</w:t>
            </w:r>
          </w:p>
        </w:tc>
      </w:tr>
      <w:tr w:rsidR="002D3F24">
        <w:trPr>
          <w:trHeight w:val="60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24" w:rsidRDefault="002D3F24">
            <w:pPr>
              <w:widowControl w:val="0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2D3F24" w:rsidRDefault="002D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  <w:p w:rsidR="002D3F24" w:rsidRDefault="002D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24" w:rsidRDefault="006A76DA">
            <w:pPr>
              <w:widowControl w:val="0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ООО Агрофирма «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Учумская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24" w:rsidRDefault="006A76DA">
            <w:pPr>
              <w:widowControl w:val="0"/>
              <w:shd w:val="clear" w:color="auto" w:fill="FFFFFF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3.Создание селекционно-семеноводческого центра в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Ужурском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районе, (производственная мощность 60 000 тонн семян в год). Количество планируемых рабочих мест по итогам реализации проекта -75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24" w:rsidRDefault="006A76DA">
            <w:pPr>
              <w:widowControl w:val="0"/>
              <w:shd w:val="clear" w:color="auto" w:fill="FFFFFF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1 200,0/0,0</w:t>
            </w:r>
          </w:p>
        </w:tc>
      </w:tr>
      <w:tr w:rsidR="002D3F24">
        <w:trPr>
          <w:trHeight w:val="60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24" w:rsidRDefault="006A76DA">
            <w:pPr>
              <w:widowControl w:val="0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24" w:rsidRDefault="006A76DA">
            <w:pPr>
              <w:widowControl w:val="0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АО «Искра»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24" w:rsidRDefault="006A76DA">
            <w:pPr>
              <w:widowControl w:val="0"/>
              <w:shd w:val="clear" w:color="auto" w:fill="FFFFFF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Строительство хлебозавода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24" w:rsidRDefault="006A76DA">
            <w:pPr>
              <w:widowControl w:val="0"/>
              <w:shd w:val="clear" w:color="auto" w:fill="FFFFFF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60/0</w:t>
            </w:r>
          </w:p>
        </w:tc>
      </w:tr>
      <w:tr w:rsidR="002D3F24">
        <w:trPr>
          <w:trHeight w:val="60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24" w:rsidRDefault="006A76DA">
            <w:pPr>
              <w:widowControl w:val="0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24" w:rsidRDefault="006A76DA">
            <w:pPr>
              <w:widowControl w:val="0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АО «Искра»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F24" w:rsidRDefault="006A76DA">
            <w:pPr>
              <w:widowControl w:val="0"/>
              <w:shd w:val="clear" w:color="auto" w:fill="FFFFFF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Строительство комбикормового завода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F24" w:rsidRDefault="006A76DA">
            <w:pPr>
              <w:widowControl w:val="0"/>
              <w:shd w:val="clear" w:color="auto" w:fill="FFFFFF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130/0</w:t>
            </w:r>
          </w:p>
        </w:tc>
      </w:tr>
    </w:tbl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В 2019 - 2020 годах инвестиционные проекты реализованы и реализуются в текущем году,  по-прежнему,  предприятиями агропромышленного комплекса. </w:t>
      </w:r>
    </w:p>
    <w:p w:rsidR="002D3F24" w:rsidRDefault="002D3F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2157"/>
        <w:gridCol w:w="1134"/>
        <w:gridCol w:w="1134"/>
        <w:gridCol w:w="1275"/>
        <w:gridCol w:w="1276"/>
        <w:gridCol w:w="1276"/>
        <w:gridCol w:w="1276"/>
      </w:tblGrid>
      <w:tr w:rsidR="002D3F24">
        <w:trPr>
          <w:trHeight w:val="446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5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Значения показателя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D3F24" w:rsidRDefault="002D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D3F24" w:rsidRDefault="002D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D3F24" w:rsidRDefault="002D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2D3F24">
        <w:trPr>
          <w:trHeight w:val="458"/>
        </w:trPr>
        <w:tc>
          <w:tcPr>
            <w:tcW w:w="21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24" w:rsidRDefault="002D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2018 факт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2019 факт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2020 оценка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2021 прогноз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2022 прогноз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2023 прогноз</w:t>
            </w:r>
          </w:p>
        </w:tc>
      </w:tr>
      <w:tr w:rsidR="002D3F24">
        <w:trPr>
          <w:trHeight w:val="2309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1. Объем инвестиций в основной капитал за счет всех источников финансирования (без субъектов малого предпринимательст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>ва)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,т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ыс. 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>1208303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984025,00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1088306,13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1287368,21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1344012,41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1401804,94</w:t>
            </w:r>
          </w:p>
        </w:tc>
      </w:tr>
      <w:tr w:rsidR="002D3F24">
        <w:trPr>
          <w:trHeight w:val="914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>2. Инвестиции в основной капитал за счет бюджетных средств, тыс. 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69622,0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48647,0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110836,12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264934,58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276591,70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288485,14</w:t>
            </w:r>
          </w:p>
        </w:tc>
      </w:tr>
      <w:tr w:rsidR="002D3F24">
        <w:trPr>
          <w:trHeight w:val="114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3. Объем инвестиций без бюджетных средств, тыс. руб. (стр.1-стр.2)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1138681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935378,0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977470,0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1022433,6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1067420,7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1113319,8</w:t>
            </w:r>
          </w:p>
        </w:tc>
      </w:tr>
      <w:tr w:rsidR="002D3F24">
        <w:trPr>
          <w:trHeight w:val="686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4. Среднегодовая численность населения, чел.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31266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30851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30438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30168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29927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29728</w:t>
            </w:r>
          </w:p>
        </w:tc>
      </w:tr>
      <w:tr w:rsidR="002D3F24">
        <w:trPr>
          <w:trHeight w:val="2057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5. Объем инвестиций в основной капитал (за исключением бюджетных средств) в расчете на 1 человека населения, руб. (стр.3/стр.4)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36419,15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30319,21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32113,48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33891,33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35667,48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37450,21</w:t>
            </w:r>
          </w:p>
        </w:tc>
      </w:tr>
    </w:tbl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2D3F24" w:rsidRDefault="006A76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6. Транспорт и связь</w:t>
      </w:r>
    </w:p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Times New Roman CYR" w:hAnsi="Times New Roman CYR" w:cs="Times New Roman CYR"/>
          <w:sz w:val="28"/>
          <w:szCs w:val="28"/>
        </w:rPr>
        <w:t>Протяженность автомобильных дорог в районе составляет 320,5 км, в том числе, общего пользования с твердым покрытием – 301,1 километров (94 % автомобильных дорог района),  из них с усовершенствованным покрытием – 54,1 км. Все автомобильные дороги общего пользования местного значения отвечают нормативным требованиям.</w:t>
      </w:r>
      <w:r>
        <w:rPr>
          <w:rFonts w:ascii="Calibri" w:hAnsi="Calibri" w:cs="Calibri"/>
        </w:rPr>
        <w:t xml:space="preserve"> </w:t>
      </w:r>
    </w:p>
    <w:p w:rsidR="002D3F24" w:rsidRDefault="006A76DA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В 2019 году предоставлена  субсидия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Ужурскому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филиалу ГПКК «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Краевое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АТП» на компенсацию расходов возникших в результате  небольшой интенсивности пассажиропотоков по межмуниципальным и пригородным маршрутам – 10541,36 тыс. рублей.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 территории района внутрирайонные пассажирские и грузовые перевозки осуществляет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филиал ГПКК «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Краевое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АТП», а также индивидуальные предприниматели.  Протяженность автобусных маршрутов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составила 936,9  км. В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2019 году число автобусных маршрутов по сравнению с 2018 годом не изменилось и составило 21 ед. Для обслуживания маршрутов общего пользования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филиал ГПКК «Краевое АТП»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использует  технически исправные транспортные средства в количестве 20 единиц.</w:t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        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Через г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.У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жур проходят автомобильные дороги к местам отдыха (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оз.Шира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, оз.Беле, оз.Парное и т.д.) жителей Красноярского края и ближайших регионов. С севера на юг район пересекает железная дорога, железнодорожная станция находится в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г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. Ужур.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Объем производства услуг  в области информатизации и связи  составляет 12800,0 тыс. рублей.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2019 году было отремонтировано 3552,6 м автомобильных дорог на общую сумму 20 222,3 тыс. рублей, в том числе 20 474,84 тыс. рублей за счет сре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дств кр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аевого бюджета. В разрезе поселений информация представлена ниже:</w:t>
      </w:r>
    </w:p>
    <w:tbl>
      <w:tblPr>
        <w:tblW w:w="0" w:type="auto"/>
        <w:tblInd w:w="93" w:type="dxa"/>
        <w:tblLayout w:type="fixed"/>
        <w:tblLook w:val="0000"/>
      </w:tblPr>
      <w:tblGrid>
        <w:gridCol w:w="780"/>
        <w:gridCol w:w="1362"/>
        <w:gridCol w:w="992"/>
        <w:gridCol w:w="818"/>
        <w:gridCol w:w="990"/>
        <w:gridCol w:w="1227"/>
        <w:gridCol w:w="1276"/>
        <w:gridCol w:w="1134"/>
        <w:gridCol w:w="1182"/>
      </w:tblGrid>
      <w:tr w:rsidR="002D3F24">
        <w:trPr>
          <w:trHeight w:val="360"/>
        </w:trPr>
        <w:tc>
          <w:tcPr>
            <w:tcW w:w="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3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Наименование населенного пункта</w:t>
            </w:r>
          </w:p>
        </w:tc>
        <w:tc>
          <w:tcPr>
            <w:tcW w:w="8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Наименование объекта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 xml:space="preserve">Протяженность, 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12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Тип покрытия</w:t>
            </w:r>
          </w:p>
        </w:tc>
        <w:tc>
          <w:tcPr>
            <w:tcW w:w="35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Стоимость работ, рублей</w:t>
            </w:r>
          </w:p>
        </w:tc>
      </w:tr>
      <w:tr w:rsidR="002D3F24">
        <w:trPr>
          <w:trHeight w:val="585"/>
        </w:trPr>
        <w:tc>
          <w:tcPr>
            <w:tcW w:w="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D3F24" w:rsidRDefault="002D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D3F24" w:rsidRDefault="002D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D3F24" w:rsidRDefault="002D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D3F24" w:rsidRDefault="002D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D3F24" w:rsidRDefault="002D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D3F24" w:rsidRDefault="002D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</w:tr>
      <w:tr w:rsidR="002D3F24">
        <w:trPr>
          <w:trHeight w:val="315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2D3F24">
        <w:trPr>
          <w:trHeight w:val="780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6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г. Ужур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г. Ужур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ул. Кирова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 485,00   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Асфальт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5 000 000,00 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 50 000,00   </w:t>
            </w: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5 050 000,00   </w:t>
            </w:r>
          </w:p>
        </w:tc>
      </w:tr>
      <w:tr w:rsidR="002D3F24">
        <w:trPr>
          <w:trHeight w:val="780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F24" w:rsidRDefault="002D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г. Ужур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жур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абочая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                  510,00   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Асфальт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3 821 775,89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38 217,76</w:t>
            </w: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3 859 993,65</w:t>
            </w:r>
          </w:p>
        </w:tc>
      </w:tr>
      <w:tr w:rsidR="002D3F24">
        <w:trPr>
          <w:trHeight w:val="780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F24" w:rsidRDefault="002D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г. Ужур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жур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ул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обеда Социализма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               2 100,00   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Асфальт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10 187 189,60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101 871,89</w:t>
            </w: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10 289 061,49</w:t>
            </w:r>
          </w:p>
        </w:tc>
      </w:tr>
      <w:tr w:rsidR="002D3F24">
        <w:trPr>
          <w:trHeight w:val="780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F24" w:rsidRDefault="002D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г. Ужур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жур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ул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.Ч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калова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                  316,00   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Щебень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213 334,51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52 008,49</w:t>
            </w: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265 343,00</w:t>
            </w:r>
          </w:p>
        </w:tc>
      </w:tr>
      <w:tr w:rsidR="002D3F24">
        <w:trPr>
          <w:trHeight w:val="780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F24" w:rsidRDefault="002D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Прилужский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сельсовет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рилужье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ул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адовая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                  141,60   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Асфальт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1 000 000,00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10 446,00</w:t>
            </w: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D3F24" w:rsidRDefault="006A7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1 010 446,00</w:t>
            </w:r>
          </w:p>
        </w:tc>
      </w:tr>
    </w:tbl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FFFFFF"/>
          <w:sz w:val="24"/>
          <w:szCs w:val="24"/>
          <w:highlight w:val="white"/>
        </w:rPr>
      </w:pPr>
    </w:p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2D3F24" w:rsidRDefault="006A76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7. Малое и среднее предпринимательство</w:t>
      </w:r>
    </w:p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Предпринимательский сектор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представлен индивидуальными предпринимателями, средними, малыми предприятиями 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микропредприятиями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, работающими практически во всех существующих на территории района сферах экономики.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Ужурском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районе по состоянию на 31.12.2019 года суммарное количество субъектов малого и среднего предпринимательства соответствует 456 единицам или 102,94 % к уровню прошлого периода (на 31.12.2018 – 443 ед.).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В количественном выражении основу малого бизнеса составляют индивидуальные предприниматели, а это 381 человек или 83,56 % от общего числа субъектов малого и среднего предпринимательства, на долю малых и средних предприятий приходится 48,5 % от общего числа предприятий.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Число субъектов малого и среднего предпринимательства в расчете на 10 000 человек населения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в 2019 году составило 148,47 единиц, что на 6,14 единиц или на 4,31 % больше значения 2018 года. 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Данный факт стал результатом сокращения численности постоянного населения. </w:t>
      </w:r>
    </w:p>
    <w:p w:rsidR="002D3F24" w:rsidRPr="00A77C83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C83">
        <w:rPr>
          <w:rFonts w:ascii="Times New Roman" w:hAnsi="Times New Roman" w:cs="Times New Roman"/>
          <w:sz w:val="28"/>
          <w:szCs w:val="28"/>
        </w:rPr>
        <w:t xml:space="preserve">В 2019 году численность занятых в организациях, относящихся к субъектам малого и среднего предпринимательства (без индивидуальных предпринимателей), включая </w:t>
      </w:r>
      <w:proofErr w:type="spellStart"/>
      <w:r w:rsidRPr="00A77C83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Pr="00A77C83">
        <w:rPr>
          <w:rFonts w:ascii="Times New Roman" w:hAnsi="Times New Roman" w:cs="Times New Roman"/>
          <w:sz w:val="28"/>
          <w:szCs w:val="28"/>
        </w:rPr>
        <w:t>, составила 1058 человек, их удельный вес в общей численности занятых в экономике района составил 7,57 %.</w:t>
      </w:r>
    </w:p>
    <w:p w:rsidR="002D3F24" w:rsidRPr="00A77C83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C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77C83">
        <w:rPr>
          <w:rFonts w:ascii="Times New Roman" w:hAnsi="Times New Roman" w:cs="Times New Roman"/>
          <w:sz w:val="28"/>
          <w:szCs w:val="28"/>
        </w:rPr>
        <w:t>Суммарная доля занятых на субъектах малого и среднего предпринимательства, действующих в производственном секторе (обрабатывающее производство, строительство, сельское  хозяйство и др.), в общем числе занятых на производстве составила 2,82 %.</w:t>
      </w:r>
      <w:proofErr w:type="gramEnd"/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Наибольшее число малых организаций 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микропредприятий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сосредоточено в сфере торговли и предоставления услуг населению. 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Средние предприятия, как ООО «Колос», ООО «Агрофирма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Учумская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», основной вид деятельности в сфере сельскохозяйственного производства. Дополнительно осуществляют деятельность по производству хлеба и мучных кондитерских изделий, макаронных изделий, по управлению собственным или арендованным нежилым недвижимым имуществом оказывают услуги общественного питания.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2019 году среднесписочная численность работников средних предприятий составляет 279 человек или 58,74 % к уровню прошлого года (на 31.12.2018 – 475 человек).  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Уменьшение среднесписочной численности работников субъектов малого и среднего предпринимательства обусловлено снижение среднесписочной численности на 41,26% к уровню прошлого года произошло из-за реорганизации ООО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Ужурское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Райпо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», закрытие 10 торговых точек на территории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района, а также из-за  снижение издержек предприятий за счѐт сокращения численности работников и (или) уменьшения списочного состава работников в пользу увеличения числа внешних совместителей и работников по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договорам подряда. 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Доля среднесписочной численности работников малых и средних предприятий в среднесписочной численности работников всех организаций в 2019 году составило 15.18 %, что на 1,63 % меньше значения 2018 года.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Оборот малых и средних предприятий увеличился в 2019 году на 5,27 % в действующих ценах к уровню 2018 года и составил 4266,73 млрд. рублей, что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связано с увеличением оборотов предприятий по следующим видам экономической деятельности: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«сельское хозяйство», за счет внедрения новой техники и новых технологий,   в растениеводстве повышение урожайности возделываемых культур, в животноводстве –  увеличение продуктивности сельскохозяйственных животных, их сохранность.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«обрабатывающие производства», за счѐт увеличения объѐмов производства строительных материалов;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«строительство», что обусловлено повышением конкурентоспособности на рынке строительных услуг;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«оптовая и розничная торговля, ремонт автотранспортных средств, мотоциклов, бытовых изделий и предметов личного пользования», связано с открытием новых торговых точек.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Удельный вес оборота малого и среднего предпринимательства по виду экономической деятельности  </w:t>
      </w:r>
      <w:r>
        <w:rPr>
          <w:rFonts w:ascii="Times New Roman CYR" w:hAnsi="Times New Roman CYR" w:cs="Times New Roman CYR"/>
          <w:sz w:val="28"/>
          <w:szCs w:val="28"/>
        </w:rPr>
        <w:t>«оптовая и розничная торговля, ремонт автотранспортных средств, мотоциклов, бытовых изделий и предметов личного пользования»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в общем обороте малого и среднего предпринимательства   составил 45,31 %, на долю оборотов малого и среднего предпринимательства по видам экономической деятельности </w:t>
      </w:r>
      <w:r>
        <w:rPr>
          <w:rFonts w:ascii="Times New Roman CYR" w:hAnsi="Times New Roman CYR" w:cs="Times New Roman CYR"/>
          <w:sz w:val="28"/>
          <w:szCs w:val="28"/>
        </w:rPr>
        <w:t>«сельское хозяйство», «обрабатывающие производства», «строительство»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приходится 24,67 % от общего оборота.</w:t>
      </w:r>
      <w:proofErr w:type="gramEnd"/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 оценке в 2020 году и в прогнозном периоде 2021-2023 годах ожидается ежегодный прирост оборота микро, малых и средних предприятий.</w:t>
      </w:r>
    </w:p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2D3F24" w:rsidRDefault="006A76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8. Результаты финансовой деятельности предприятий</w:t>
      </w:r>
    </w:p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Сальдированный финансовый результат крупных и средних организаций района за  2019 год сложился в размере 1540210,0 тыс. руб. К соответствующему периоду прошлого года объем сальдированной прибыли составил 234,9 % в действующих ценах к соответствующему периоду прошлого года. 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Основной объем прибыли получен предприятиями сельского хозяйства –89,5 % от общего объема. 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Убытки организаций  по состоянию на 1 января 2020 года выразились в сумме 5963 тыс. руб. В 2018 году этот показатель был равен 8874,0 тыс. руб. 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 оценке в 2020 году сальдированный финансовый результат по основным видам экономической деятельности прогнозируется в сумме  1592577,14 тыс. руб., в 2021 году –  1649909,92  тыс. руб., в 2022 – 1715906,31  тыс. руб., в 2023 – 1784542,57  тыс. руб.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CYR" w:hAnsi="Arial CYR" w:cs="Arial CYR"/>
          <w:sz w:val="16"/>
          <w:szCs w:val="16"/>
        </w:rPr>
      </w:pPr>
      <w:r>
        <w:rPr>
          <w:rFonts w:ascii="Times New Roman CYR" w:hAnsi="Times New Roman CYR" w:cs="Times New Roman CYR"/>
          <w:sz w:val="28"/>
          <w:szCs w:val="28"/>
        </w:rPr>
        <w:t>Удельный вес прибыльных организаций от общего числа организаций в 2019 году составил 81,82 %. В 2020 году этот показатель планируется в таком же размере и к 2023 году  удельный вес прибыльных предприятий прогнозируется на уровне 81,84 %.</w:t>
      </w:r>
    </w:p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2D3F24" w:rsidRDefault="006A76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lastRenderedPageBreak/>
        <w:t>9. Бюджет муниципального образования</w:t>
      </w:r>
    </w:p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2D3F24" w:rsidRDefault="006A76DA" w:rsidP="00A77C8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2019 году в консолидированный бюджет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поступили доходы в сумме 1330486,9 тыс. рублей.</w:t>
      </w:r>
    </w:p>
    <w:p w:rsidR="002D3F24" w:rsidRDefault="006A76DA" w:rsidP="00A77C83">
      <w:pPr>
        <w:tabs>
          <w:tab w:val="left" w:pos="426"/>
          <w:tab w:val="left" w:pos="709"/>
          <w:tab w:val="left" w:pos="1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Доходная часть консолидированного бюджета за 2019 год выполнена на 99,06% к уточненному плану (утверждено 1343082,88 тыс. рублей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п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оступило 1330486,91 тыс. руб.). В том числе, план по налоговым и неналоговым доходам выполнен на 103,2% (утверждено 248147,33 тыс. рублей, поступило 256032,30 тыс. руб.).</w:t>
      </w:r>
    </w:p>
    <w:p w:rsidR="002D3F24" w:rsidRDefault="006A76DA" w:rsidP="00A77C83">
      <w:pPr>
        <w:tabs>
          <w:tab w:val="left" w:pos="1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Структура налоговых и неналоговых доходов консолидированного бюджета за 2019 год по основным налогам выглядит следующим образом:   </w:t>
      </w:r>
    </w:p>
    <w:p w:rsidR="002D3F24" w:rsidRDefault="006A76DA" w:rsidP="00A77C83">
      <w:pPr>
        <w:tabs>
          <w:tab w:val="left" w:pos="709"/>
          <w:tab w:val="left" w:pos="1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налог на доходы физических лиц - 161618,46 тыс. рублей, что составляет 63,1% от общей суммы налоговых, неналоговых доходов;</w:t>
      </w:r>
    </w:p>
    <w:p w:rsidR="002D3F24" w:rsidRDefault="006A76DA" w:rsidP="00A77C83">
      <w:pPr>
        <w:tabs>
          <w:tab w:val="left" w:pos="709"/>
          <w:tab w:val="left" w:pos="1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налоги на совокупный доход – 14027,70 тыс. рублей, что составляет 5,5% от общей суммы налоговых, неналоговых доходов;</w:t>
      </w:r>
    </w:p>
    <w:p w:rsidR="002D3F24" w:rsidRDefault="006A76DA" w:rsidP="00A77C83">
      <w:pPr>
        <w:tabs>
          <w:tab w:val="left" w:pos="709"/>
          <w:tab w:val="left" w:pos="1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налоги на имущество – 26429,27 тыс. рублей, что составляет 10,3 % от общей суммы налоговых, неналоговых доходов;</w:t>
      </w:r>
    </w:p>
    <w:p w:rsidR="002D3F24" w:rsidRDefault="006A76DA" w:rsidP="00A77C83">
      <w:pPr>
        <w:tabs>
          <w:tab w:val="left" w:pos="709"/>
          <w:tab w:val="left" w:pos="1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доходы от использования имущества – 28572,39 тыс. рублей, что составляет 11,2 % от общей суммы налоговых, неналоговых доходов;</w:t>
      </w:r>
    </w:p>
    <w:p w:rsidR="002D3F24" w:rsidRDefault="006A76DA" w:rsidP="00A77C83">
      <w:pPr>
        <w:tabs>
          <w:tab w:val="left" w:pos="709"/>
          <w:tab w:val="left" w:pos="1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Безвозмездные поступления в районный бюджет составляют 1074454,61 тыс. рублей, или 98,1% от утвержденного плана, в том числе:</w:t>
      </w:r>
    </w:p>
    <w:p w:rsidR="002D3F24" w:rsidRDefault="006A76DA" w:rsidP="00A77C83">
      <w:pPr>
        <w:tabs>
          <w:tab w:val="left" w:pos="1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дотации бюджетам муниципального района поступили в полном объеме 231267,30 тыс. рублей;</w:t>
      </w:r>
    </w:p>
    <w:p w:rsidR="002D3F24" w:rsidRDefault="006A76DA" w:rsidP="00A77C83">
      <w:pPr>
        <w:tabs>
          <w:tab w:val="left" w:pos="709"/>
          <w:tab w:val="left" w:pos="1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субсидии 280462,58 тыс. рублей, или 99,8% от утвержденного плана;</w:t>
      </w:r>
    </w:p>
    <w:p w:rsidR="002D3F24" w:rsidRDefault="006A76DA" w:rsidP="00A77C83">
      <w:pPr>
        <w:tabs>
          <w:tab w:val="left" w:pos="1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субвенции 559866,81 тыс. рублей, 96,5% от утвержденного плана.</w:t>
      </w:r>
    </w:p>
    <w:p w:rsidR="002D3F24" w:rsidRDefault="006A76DA" w:rsidP="00A77C83">
      <w:pPr>
        <w:tabs>
          <w:tab w:val="left" w:pos="709"/>
          <w:tab w:val="left" w:pos="1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Оценка доходов консолидированного бюджета на 2020 год составляет 1559671,80 тыс. рублей, в том числе налоговые, неналоговые доходы в сумме 263582,70 тыс. рублей, увеличение доходной части бюджета по сравнению с 2019 годом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на 7550,40 тыс. рублей, </w:t>
      </w:r>
    </w:p>
    <w:p w:rsidR="002D3F24" w:rsidRDefault="006A76DA" w:rsidP="00A77C83">
      <w:pPr>
        <w:tabs>
          <w:tab w:val="left" w:pos="709"/>
          <w:tab w:val="left" w:pos="1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налог на доходы физических лиц порядка 5461,54 тыс. рублей;  </w:t>
      </w:r>
    </w:p>
    <w:p w:rsidR="002D3F24" w:rsidRDefault="006A76DA" w:rsidP="00A77C83">
      <w:pPr>
        <w:tabs>
          <w:tab w:val="left" w:pos="709"/>
          <w:tab w:val="left" w:pos="1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земельный налог порядка 2224,56 тыс. рублей;</w:t>
      </w:r>
    </w:p>
    <w:p w:rsidR="002D3F24" w:rsidRDefault="006A76DA" w:rsidP="00A77C83">
      <w:pPr>
        <w:tabs>
          <w:tab w:val="left" w:pos="709"/>
          <w:tab w:val="left" w:pos="1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highlight w:val="yellow"/>
        </w:rPr>
      </w:pPr>
      <w:r>
        <w:rPr>
          <w:rFonts w:ascii="Times New Roman CYR" w:hAnsi="Times New Roman CYR" w:cs="Times New Roman CYR"/>
          <w:sz w:val="28"/>
          <w:szCs w:val="28"/>
        </w:rPr>
        <w:t>Структура налоговых и неналоговых доходов консолидированного бюджета на 2021 год по основным налогам не изменилась:</w:t>
      </w:r>
    </w:p>
    <w:p w:rsidR="002D3F24" w:rsidRDefault="006A76DA" w:rsidP="00A77C83">
      <w:pPr>
        <w:tabs>
          <w:tab w:val="left" w:pos="1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налог на доходы физических лиц - 173122,00 тыс. рублей, что составляет 65,8% от общей суммы налоговых, неналоговых доходов;</w:t>
      </w:r>
    </w:p>
    <w:p w:rsidR="002D3F24" w:rsidRDefault="006A76DA" w:rsidP="00A77C83">
      <w:pPr>
        <w:tabs>
          <w:tab w:val="left" w:pos="1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налоги на совокупный доход – 18050,00 рублей,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что составляет 6,9 % от общей суммы налоговых, неналоговых доходов;</w:t>
      </w:r>
    </w:p>
    <w:p w:rsidR="002D3F24" w:rsidRDefault="006A76DA" w:rsidP="00A77C83">
      <w:pPr>
        <w:tabs>
          <w:tab w:val="left" w:pos="709"/>
          <w:tab w:val="left" w:pos="1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налоги на имущество – 26980,00 тыс. рублей,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что составляет 10,3% от общей суммы налоговых, неналоговых доходов;</w:t>
      </w:r>
    </w:p>
    <w:p w:rsidR="002D3F24" w:rsidRDefault="006A76DA" w:rsidP="00A77C83">
      <w:pPr>
        <w:tabs>
          <w:tab w:val="left" w:pos="709"/>
          <w:tab w:val="left" w:pos="1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доходы от использования имущества – 26960,00 тыс. рублей,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что составляет 10,2% от общей суммы налоговых, неналоговых доходов.</w:t>
      </w:r>
    </w:p>
    <w:p w:rsidR="002D3F24" w:rsidRDefault="006A76DA" w:rsidP="00A77C83">
      <w:pPr>
        <w:tabs>
          <w:tab w:val="left" w:pos="1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highlight w:val="yellow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Безвозмездные поступления в бюджет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прогнозируются в сумме 1413256,00 тыс. рублей, в том числе:</w:t>
      </w:r>
    </w:p>
    <w:p w:rsidR="002D3F24" w:rsidRDefault="006A76DA" w:rsidP="00A77C83">
      <w:pPr>
        <w:tabs>
          <w:tab w:val="left" w:pos="709"/>
          <w:tab w:val="left" w:pos="1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дотации бюджетам муниципального района   406756,70 тыс. рублей;</w:t>
      </w:r>
    </w:p>
    <w:p w:rsidR="002D3F24" w:rsidRDefault="006A76DA" w:rsidP="00A77C83">
      <w:pPr>
        <w:tabs>
          <w:tab w:val="left" w:pos="709"/>
          <w:tab w:val="left" w:pos="1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субсидии 381070,00 тыс. рублей;</w:t>
      </w:r>
    </w:p>
    <w:p w:rsidR="002D3F24" w:rsidRDefault="006A76DA" w:rsidP="00A77C83">
      <w:pPr>
        <w:tabs>
          <w:tab w:val="left" w:pos="709"/>
          <w:tab w:val="left" w:pos="1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highlight w:val="yellow"/>
        </w:rPr>
      </w:pPr>
      <w:r>
        <w:rPr>
          <w:rFonts w:ascii="Times New Roman CYR" w:hAnsi="Times New Roman CYR" w:cs="Times New Roman CYR"/>
          <w:sz w:val="28"/>
          <w:szCs w:val="28"/>
        </w:rPr>
        <w:t>субвенции 625759,30 тыс. рублей.</w:t>
      </w:r>
    </w:p>
    <w:p w:rsidR="002D3F24" w:rsidRDefault="006A76DA" w:rsidP="00A77C83">
      <w:pPr>
        <w:tabs>
          <w:tab w:val="left" w:pos="709"/>
          <w:tab w:val="left" w:pos="1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По прогнозным данным ожидается прирост налоговых, неналоговых доходов 2022 год 2,1% (вариант 2), 2023 год 6,2% (вариант 2), по отношению к 2020 году, в связи с учетом налоговых вычетов по налогу на доходы физических лиц, применения налоговых льгот предоставляемых согласно решений органов местного самоуправления по земельному налогу и налогу на имущество физических лиц, а также сокращения доходов от продажи материальных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, нематериальных активов.       </w:t>
      </w:r>
    </w:p>
    <w:p w:rsidR="002D3F24" w:rsidRDefault="006A76DA">
      <w:pPr>
        <w:tabs>
          <w:tab w:val="left" w:pos="709"/>
          <w:tab w:val="left" w:pos="1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Расходы консолидированного бюджета по оценке на 2020 год составят 1559671,8 тыс. рублей. В прогнозируемом периоде на 2021 год показатели объема расходов увеличатся на 7,39 % к 2020 году (вариант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1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), на 7,47 % (вариант 2). В том числе, за счет индексации расходов на оплату коммунальных услуг, за счет увеличения заработной платы работникам бюджетной сферы и увеличения размеров денежного вознаграждения лиц, замещающих муниципальные должности, обеспечение повышения минимального уровня заработной платы. </w:t>
      </w:r>
    </w:p>
    <w:p w:rsidR="002D3F24" w:rsidRDefault="006A76DA">
      <w:pPr>
        <w:tabs>
          <w:tab w:val="left" w:pos="709"/>
          <w:tab w:val="left" w:pos="1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2020 году заключен муниципальный контракт на выполнение работ по строительству нового здания МБОУ ДО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Ужурская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спортивная школа» на сумму 12887,9 тыс. рублей, (в т. ч. за счет субсидии из краевого бюджета,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софинансирования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за счет средств местного бюджета, спонсорских средств).</w:t>
      </w:r>
    </w:p>
    <w:p w:rsidR="002D3F24" w:rsidRDefault="006A76DA">
      <w:pPr>
        <w:tabs>
          <w:tab w:val="left" w:pos="709"/>
          <w:tab w:val="left" w:pos="1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Бюджет 2019 года исполнен с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профицитом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в сумме 29181,46 тыс. рублей.</w:t>
      </w:r>
    </w:p>
    <w:p w:rsidR="002D3F24" w:rsidRDefault="006A76DA">
      <w:pPr>
        <w:tabs>
          <w:tab w:val="left" w:pos="709"/>
          <w:tab w:val="left" w:pos="1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2020 году и плановом периоде 2021-2023 годах бюджет прогнозируется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сбалансированным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2D3F24" w:rsidRDefault="006A76DA">
      <w:pPr>
        <w:tabs>
          <w:tab w:val="left" w:pos="709"/>
          <w:tab w:val="left" w:pos="1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В 2020 году в рамках государственной программы Красноярского края «Содействие развитию местного самоуправления» предоставлены иные межбюджетные трансферты бюджетам муниципальных образований за содействие развитию налогового потенциала 3641,7 тыс. рублей, а также субсидия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 9041,8 тыс. рублей.</w:t>
      </w:r>
      <w:proofErr w:type="gramEnd"/>
    </w:p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2D3F24" w:rsidRDefault="006A76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10. Общественное питание</w:t>
      </w:r>
    </w:p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Оборот общественного питания организаций малого бизнеса в 2019 году составил 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77460,9 </w:t>
      </w:r>
      <w:r>
        <w:rPr>
          <w:rFonts w:ascii="Times New Roman CYR" w:hAnsi="Times New Roman CYR" w:cs="Times New Roman CYR"/>
          <w:sz w:val="28"/>
          <w:szCs w:val="28"/>
        </w:rPr>
        <w:t xml:space="preserve">тыс. рублей, что составляет 96,42% к уровню прошлого года в сопоставимых ценах. В 2020 году ожидаемый оборот 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58417,40 </w:t>
      </w:r>
      <w:r>
        <w:rPr>
          <w:rFonts w:ascii="Times New Roman CYR" w:hAnsi="Times New Roman CYR" w:cs="Times New Roman CYR"/>
          <w:sz w:val="28"/>
          <w:szCs w:val="28"/>
        </w:rPr>
        <w:t xml:space="preserve">тыс. руб., в 2021 г. – 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43832,2 </w:t>
      </w:r>
      <w:r>
        <w:rPr>
          <w:rFonts w:ascii="Times New Roman CYR" w:hAnsi="Times New Roman CYR" w:cs="Times New Roman CYR"/>
          <w:sz w:val="28"/>
          <w:szCs w:val="28"/>
        </w:rPr>
        <w:t>тыс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уб., в 2022г. – 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46663,6 </w:t>
      </w:r>
      <w:r>
        <w:rPr>
          <w:rFonts w:ascii="Times New Roman CYR" w:hAnsi="Times New Roman CYR" w:cs="Times New Roman CYR"/>
          <w:sz w:val="28"/>
          <w:szCs w:val="28"/>
        </w:rPr>
        <w:t xml:space="preserve">тыс. руб., в 2023г.- 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49677,6</w:t>
      </w:r>
      <w:r>
        <w:rPr>
          <w:rFonts w:ascii="Times New Roman CYR" w:hAnsi="Times New Roman CYR" w:cs="Times New Roman CYR"/>
          <w:sz w:val="28"/>
          <w:szCs w:val="28"/>
        </w:rPr>
        <w:t>тыс. руб.</w:t>
      </w:r>
    </w:p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2D3F24" w:rsidRDefault="006A76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11. Розничная торговля</w:t>
      </w:r>
    </w:p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 целом  по  району  в  2019  году  розничный  товарооборот  составил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3398684,3 </w:t>
      </w:r>
      <w:r>
        <w:rPr>
          <w:rFonts w:ascii="Times New Roman CYR" w:hAnsi="Times New Roman CYR" w:cs="Times New Roman CYR"/>
          <w:sz w:val="28"/>
          <w:szCs w:val="28"/>
        </w:rPr>
        <w:t xml:space="preserve">тыс. рублей, что составляет 102,4% к уровню прошлого года в сопоставимых ценах. В 2020 году данный показатель прогнозируется на уровне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3 393 171,70 </w:t>
      </w:r>
      <w:r>
        <w:rPr>
          <w:rFonts w:ascii="Times New Roman CYR" w:hAnsi="Times New Roman CYR" w:cs="Times New Roman CYR"/>
          <w:sz w:val="28"/>
          <w:szCs w:val="28"/>
        </w:rPr>
        <w:t xml:space="preserve">тыс. руб., в 2021г. –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3365607,50 </w:t>
      </w:r>
      <w:r>
        <w:rPr>
          <w:rFonts w:ascii="Times New Roman CYR" w:hAnsi="Times New Roman CYR" w:cs="Times New Roman CYR"/>
          <w:sz w:val="28"/>
          <w:szCs w:val="28"/>
        </w:rPr>
        <w:t>тыс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уб., в 2022г. –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3521155,40 </w:t>
      </w:r>
      <w:r>
        <w:rPr>
          <w:rFonts w:ascii="Times New Roman CYR" w:hAnsi="Times New Roman CYR" w:cs="Times New Roman CYR"/>
          <w:sz w:val="28"/>
          <w:szCs w:val="28"/>
        </w:rPr>
        <w:t xml:space="preserve">тыс.руб., в 2023 году –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3683892,20 </w:t>
      </w:r>
      <w:r>
        <w:rPr>
          <w:rFonts w:ascii="Times New Roman CYR" w:hAnsi="Times New Roman CYR" w:cs="Times New Roman CYR"/>
          <w:sz w:val="28"/>
          <w:szCs w:val="28"/>
        </w:rPr>
        <w:t>тыс. руб. в действующих ценах. Темп роста в сопоставимых ценах  в 2019-2023 г.г. по прогнозу составит 108,4%.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Доля продовольственных товаров в обороте розничной торговли составляет 65,0%. Розничная торговля, в основном, представлена предприятиями частной формы собственности (85,0%); на долю потребительской кооперации приходится 15,0% розничного товарооборота.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ресурсном обеспечении розничного товарооборота усиливается позиция отечественных производителей (особенно в части продовольственных товаров).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Объем продаж потребительских товаров на одного жителя в 2019 году составил 111148,02 рублей (или 9262,34 рубля в месяц).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Оборот оптовой торговли составил в 2019 году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408812,5 </w:t>
      </w:r>
      <w:r>
        <w:rPr>
          <w:rFonts w:ascii="Times New Roman CYR" w:hAnsi="Times New Roman CYR" w:cs="Times New Roman CYR"/>
          <w:sz w:val="28"/>
          <w:szCs w:val="28"/>
        </w:rPr>
        <w:t>тыс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уб. Объем продаж на одного жителя в 2019 году составил 13369,50 руб. 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 территории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функционирует 267 магазина, общей площадью 31,25 тыс.кв. метров, 232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минимаркета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, общей площадью 27,24 тыс.кв.м., 1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магазин-дискаунтер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, площадью 596,0 кв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.м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, а также 64 мелких объектов розничной торговли (павильоны, киоски и др.). В 2019 году введено в действие 3 магазина, площадью 1254,7кв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.м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и произведена реконструкция действующего магазина, площадью 76,7 кв.м. 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8"/>
        <w:rPr>
          <w:rFonts w:ascii="Arial CYR" w:hAnsi="Arial CYR" w:cs="Arial CYR"/>
          <w:sz w:val="16"/>
          <w:szCs w:val="16"/>
        </w:rPr>
      </w:pPr>
      <w:r>
        <w:rPr>
          <w:rFonts w:ascii="Times New Roman CYR" w:hAnsi="Times New Roman CYR" w:cs="Times New Roman CYR"/>
          <w:sz w:val="28"/>
          <w:szCs w:val="28"/>
        </w:rPr>
        <w:t>На территории района осуществляет деятельность МП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городской мелкооптовый рынок» (вещевой  и продовольственный) на 120 и  90 торговых мест соответственно.</w:t>
      </w:r>
    </w:p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2D3F24" w:rsidRDefault="006A76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12. Платные услуги населению</w:t>
      </w:r>
    </w:p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2019 году оказано платных услуг населению на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285046,22 </w:t>
      </w:r>
      <w:r>
        <w:rPr>
          <w:rFonts w:ascii="Times New Roman CYR" w:hAnsi="Times New Roman CYR" w:cs="Times New Roman CYR"/>
          <w:sz w:val="28"/>
          <w:szCs w:val="28"/>
        </w:rPr>
        <w:t xml:space="preserve">тыс. руб., что составляет 101,25% к уровню прошлого года в сопоставимых ценах. По состоянию на 1 января 2019 года в районе оказывают платные услуги 67 организаций, в том числе, предприятия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жилищно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– коммунального хозяйства, транспорта, связи, учреждения культуры и образования, КГБУЗ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Ужурская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районная больница», и др. В 2020 году данный показатель прогнозируется на уровне 286725,15 тыс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уб., в 2021г. – 302085,01 тыс.руб., в 2022г. – 318530,52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тысюруб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., в 2023г. – 336536,41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тысюруб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. Темп роста в 2019-2023 г.г. составит по прогнозу118,1%.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Объем оказанных услуг на одного жителя в 2019 году составил 9320,96 рублей.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8"/>
        <w:rPr>
          <w:rFonts w:ascii="Arial CYR" w:hAnsi="Arial CYR" w:cs="Arial CYR"/>
          <w:sz w:val="16"/>
          <w:szCs w:val="16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2019 году наибольший удельный вес в структуре платных услуг занимают: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жилищно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–коммунальные услуги -77% , услуги образования- 6,2%,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медицинские- 3,6%,  услуги транспорта  и связи – 3,5% от общего объема платных услуг района. На период 2020-2023 годов  структура платных услуг значительно не изменится.</w:t>
      </w:r>
    </w:p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2D3F24" w:rsidRDefault="006A76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13. Уровень жизни населения</w:t>
      </w:r>
    </w:p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Среднедушевые денежные доходы населения в месяц в 2019 году составили 17821,6 руб., реальный рост к уровню 2018 года -  5,6%. По оценке, в 2020 году среднедушевые денежные доходы составят 18374,1 (номинально вырастут на 3,1%, реально снизятся на 0,3% к предыдущему периоду),  в 2021 году – 19825,6 руб. (реальный рост составит 4,2%), в 2022 году – 21074,7 руб. (реальный  рост – 2,2%), в 2023 году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– 22645,5 руб. (реальный рост – 3,3%).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Наибольший удельный вес в общем объеме  доходов населения занимает оплата труда наемных работников. Фонд заработной платы в 2019 году составил 3929280,7 тыс. руб. (по сравнению с 2018 годом увеличение на 340305,7 тыс. руб., или на 9,5%). К 2023 году этот показатель планируется на уровне 5387821,8 тыс. руб.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Среднемесячная начисленная заработная плата в расчете на одного работника в 2019 году составила 36149,3 руб. и увеличилась по сравнению с предыдущим годом номинально на 11,0%, реально на 5,7%. В 2020 году ожидается номинальный рост уровня среднемесячной заработной платы на 12,6% к уровню 2019 года, реальный рост - на 8,9%. В 2021 году прогнозируется  реальный рост уровня среднемесячной заработной платы на 3,5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%,  в номинальном  выражении  рост составит 7,2%,  в 2022 году реальный темп роста заработной платы планируется на уровне 2,4%, а номинальный составит – 6,5%, в 2023 году реальный и номинальный рост данного показателя составит 3,0%  и 7,1% соответственно. Данный показатель в 2019 году по сравнению со среднемесячной заработной платой (средней) по краю ниже на 13782,9 руб., или на 27,6%.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Задолженность по заработной плате работников предприятий и организаций района по состоянию на 01.01.2020 отсутствует. </w:t>
      </w:r>
    </w:p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2D3F24" w:rsidRDefault="006A76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14. Рынок труда</w:t>
      </w:r>
    </w:p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последние годы наблюдается тенденция сокращения численности трудовых ресурсов с 18,762 тыс. человек в 2017 г. до 18,078 тыс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.ч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еловек в 2019 году по причине сокращения численности постоянного населения. По прогнозу численность трудовых ресурсов в 2023 году составит 18,260 тыс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.ч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еловек. 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Также в 2019 году произошло уменьшение среднесписочной численности работников организаций с 9183 до 9058  человек, т.е. на 1,4 %. Уменьшение численности работников в 2018 году произошло в организациях 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железнодорожного транспорта, обрабатывающих производств, здравоохранения, торговли.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2019 году численность трудоспособного населения в трудоспособном возрасте составила 16,046  тыс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.ч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еловек. 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Численность занятого в экономике населения в  2019 году составила 13531 человек, что на 179 человек меньше по сравнению с 2018 годом.  Уменьшение численности занятого в экономике населения произошло по причине ликвидации организаций и в связи  с сокращением численности или штата работников в  организациях района. Массовое сокращение работников провели по причине ликвидации  ЗАО "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Ильинское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", МП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хлебозавод». 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Основная часть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работающих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занята в сельском хозяйстве – 34,5%, бюджетной сфере – 33,5,0%.  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Численность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безработных граждан, зарегистрированных в службе занятости населения в 2019 году  составила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293 человека, что на 5 человек меньше, чем в 2018 году.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Уровень зарегистрированной безработицы в районе остался на уровне 2018 года и составил 1,7 %,  по  прогнозу до 2023 года данный показатель увеличится до  3,6 %.  </w:t>
      </w:r>
    </w:p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2D3F24" w:rsidRDefault="006A76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15. Демографическая ситуация</w:t>
      </w:r>
    </w:p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последние годы демографическая ситуация характеризуется постепенным сокращением численности постоянного населения (среднегодовой) с 31608 человек в 2016 году,  до 30851 человек в 2019 году. 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Численность постоянного населения (среднегодовая) составила в  2016 г.  – 31608 человек, в 2017 г. - 31476, в 2018 году 31266 человек, в 2019 году - 30851 человек, в 2020 году прогнозируется - 30438 человек, в 2021 году - 30168 человек, в 2022 году - 29927 человек, в 2023 году - 29728 человек.</w:t>
      </w:r>
      <w:proofErr w:type="gramEnd"/>
    </w:p>
    <w:p w:rsidR="002D3F24" w:rsidRDefault="006A76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Происходит сокращение численности населения в трудоспособном возрасте. Численность населения в трудоспособном возрасте в среднем за 2018 год составила 16707 человек, в 2019 году - 16373 человека.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По данным Территориального органа федеральной службы государственной статистики по Красноярскому краю (статистический бюллетень № 8-2 «Численность населения Красноярского края»)  численность постоянного населения по состоянию на 01.01.2016г. составила 31672 человек (сельское - 16106 человек), на 01.01.2017 г. - 31545 человек (сельское - 15977 человек), на 01.01.2018 г. - 31408 человек (сельское - 15822 человека), на 01.01.2019 г. - 31124 человека (сельское- 15561 человек), на 01.01.2020 г. - 30578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человек (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сельское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- 15245 человек)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Численность постоянного населения в разрезе поселений по состоянию на 01.01.2019 г. сложилась следующим образом: город Ужур – 15333 человек, Васильевский сельсовет – 116 человек,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Златоруновский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сельсовет – 1330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человек,  Ильинский сельсовет – 794 человека,  Крутоярский сельсовет – 2879 человек,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Кулунский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сельсовет – 1312 человек,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Локшинский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сельсовет – 1167 человек,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Малоимышский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сельсовет – 1602 человека, Михайловский сельсовет – 744 человека,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Озероучумский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сельсовет – 887 человек,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Прилужский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сельсовет – 818 человек,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Приреченский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сельсовет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– 1293 человека,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Солгонский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сельсовет – 2303 человека. 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Динамика численности постоянного населения такова, что наблюдается ежегодное сокращение общего числа населения. Это вызвано, в первую очередь, миграционными процессами (оттоком молодого трудоспособного населения).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Уменьшение численности населения за счет миграции в 2016 году составило «-129 чел.», в  2017 году - «-106 чел.», в 2018 году - «-183 чел.», в 2019 году - «-394 чел.».  Сокращение численности населения происходит также за счет естественной убыли (превышение смертности над рождаемостью" - 2016 год - «+2», 2017 год - «-31», 2018 год - «-101», 2019 год - «-152». </w:t>
      </w:r>
      <w:proofErr w:type="gramEnd"/>
    </w:p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2D3F24" w:rsidRDefault="006A76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16. Образование</w:t>
      </w:r>
    </w:p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 начало учебного года сеть муниципальных образовательных учреждений района представлена 17 общеобразовательными учреждениями, из них: 5 основных общеобразовательных и 12 средних общеобразовательных школ.  2  учреждениями дополнительного образования: муниципальное образовательное учреждение дополнительного образования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районный центр дополнительного образования», Муниципальное образовательное учреждение дополнительного образования 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Ужурская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спортивная школа», 5 дошкольными образовательными учреждениями. 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2019-2020 году в школах района обучалось 4306  учащихся, сформировано 262 классов-комплектов, наполняемость классов составляет 15 человек, при нормативе 25 человек.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За 2019 – 2020 учебный год в </w:t>
      </w:r>
      <w:r>
        <w:rPr>
          <w:rFonts w:ascii="Times New Roman CYR" w:hAnsi="Times New Roman CYR" w:cs="Times New Roman CYR"/>
          <w:sz w:val="28"/>
          <w:szCs w:val="28"/>
        </w:rPr>
        <w:t xml:space="preserve">муниципальных общеобразовательных учреждениях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из 174 выпускников допущенных к выпускным экзаменам,  168 получили аттестаты. 3 ребенка награждены золотой медалью.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</w:t>
      </w:r>
      <w:r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школах</w:t>
      </w:r>
      <w:r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района</w:t>
      </w:r>
      <w:r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работает</w:t>
      </w:r>
      <w:r>
        <w:rPr>
          <w:rFonts w:ascii="Calibri" w:hAnsi="Calibri" w:cs="Calibri"/>
          <w:sz w:val="28"/>
          <w:szCs w:val="28"/>
        </w:rPr>
        <w:t xml:space="preserve"> 339 </w:t>
      </w:r>
      <w:r>
        <w:rPr>
          <w:rFonts w:ascii="Times New Roman CYR" w:hAnsi="Times New Roman CYR" w:cs="Times New Roman CYR"/>
          <w:sz w:val="28"/>
          <w:szCs w:val="28"/>
        </w:rPr>
        <w:t>учителей</w:t>
      </w:r>
      <w:r>
        <w:rPr>
          <w:rFonts w:ascii="Calibri" w:hAnsi="Calibri" w:cs="Calibri"/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sz w:val="28"/>
          <w:szCs w:val="28"/>
        </w:rPr>
        <w:t>на</w:t>
      </w:r>
      <w:r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одного</w:t>
      </w:r>
      <w:r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учителя</w:t>
      </w:r>
      <w:r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приходится</w:t>
      </w:r>
      <w:r>
        <w:rPr>
          <w:rFonts w:ascii="Calibri" w:hAnsi="Calibri" w:cs="Calibri"/>
          <w:sz w:val="28"/>
          <w:szCs w:val="28"/>
        </w:rPr>
        <w:t xml:space="preserve"> 12 </w:t>
      </w:r>
      <w:r>
        <w:rPr>
          <w:rFonts w:ascii="Times New Roman CYR" w:hAnsi="Times New Roman CYR" w:cs="Times New Roman CYR"/>
          <w:sz w:val="28"/>
          <w:szCs w:val="28"/>
        </w:rPr>
        <w:t>учащихся</w:t>
      </w:r>
      <w:r>
        <w:rPr>
          <w:rFonts w:ascii="Calibri" w:hAnsi="Calibri" w:cs="Calibri"/>
          <w:sz w:val="28"/>
          <w:szCs w:val="28"/>
        </w:rPr>
        <w:t>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 состоянию на 01.01.2019 г.  в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Ужурском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районе муниципальных общеобразовательных учреждений, здания которых находятся в аварийном состоянии или требующие  капитального ремонта нет.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Для обеспечения потребностей родителей в дошкольных образовательных услугах в районе функционирует 5 дошкольных образовательных учреждений , 8 общеобразовательных школ, имеющие в своей структуре дошкольные группы: 6 групп сокращенного дня на 131 место, и 2 дошкольные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группы полного дня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на  65 мест.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Для снижения доли неэффективных расходов в сфере образования в 2019 году продолжалась работа по реализации мероприятий, направленных на оптимизацию сети образовательных учреждений:</w:t>
      </w:r>
    </w:p>
    <w:p w:rsidR="002D3F24" w:rsidRDefault="006A76DA" w:rsidP="00A77C8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реорганизация МБДОУ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Златоруновский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детский сад» путем присоединения к МБОУ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Златоруновская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 СОШ»;</w:t>
      </w:r>
    </w:p>
    <w:p w:rsidR="002D3F24" w:rsidRDefault="006A76DA" w:rsidP="00A77C8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реорганизация МБДОУ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Малоимышский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детский сад» путем  присоединения к МБОУ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Малоимышской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 СОШ»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               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р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еорганизация МБДОУ «Крутоярский детский сад» путем присоединения к МБОУ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Крутоярская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 СОШ»;</w:t>
      </w:r>
    </w:p>
    <w:p w:rsidR="002D3F24" w:rsidRDefault="006A76DA" w:rsidP="00A77C8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реорганизация МБДОУ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Прилужский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 детский сад» путем  присоединения к МБОУ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Тургужанская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  ООШ».                                                                                             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Численность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детей, посещающих дошкольные образовательные учреждения составляет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1119 человек, из них по возрастам: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 1 до 3 лет -  76 человек;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 3 до 6 лет - 736 человека.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От 6 до 7  лет -296 человек.         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 7 и старше -11 человек.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Численность педагогических работников в дошкольных образовательных  учреждениях в 2019 году составила 100 человек. В районе есть необходимость узких специалистов: педагогов-психологов и логопедов, так как 80% детей дошкольного возраста нуждаются в медицинской, психологической и педагогической коррекции.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Численность учащихся в дневных образовательных организациях муниципальной формы собственности занимающихся во вторую смену составляет 286 человек, что на 1,06%  выше по сравнению с предыдущим годом.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 МБОУ ДО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районный центр дополнительного образования» всего занимается -1584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ребенка, в том числе 106 детей с ограниченными возможностями здоровья</w:t>
      </w:r>
      <w:r>
        <w:rPr>
          <w:rFonts w:ascii="Times New Roman CYR" w:hAnsi="Times New Roman CYR" w:cs="Times New Roman CYR"/>
          <w:sz w:val="28"/>
          <w:szCs w:val="28"/>
        </w:rPr>
        <w:t xml:space="preserve">. Учащиеся занимаются в 103 объединениях, в том числе 25 из них расположены в сельской местности.  Направление деятельности: техническое творчества, эколого-биологическое, художественно-эстетическое, туристско-краеведческое, культурологическое. </w:t>
      </w:r>
    </w:p>
    <w:p w:rsidR="002D3F24" w:rsidRDefault="006A76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МБОУ ДО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Ужурская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спортивная школа» общая численность учащихся – 602 человека.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Занятия проводятся по 9  программам  спортивной направленности: дзюдо, самбо, вольная борьба, пауэрлифтинг, волейбол, баскетбол, шахматы, лыжные гонки, футбол.</w:t>
      </w:r>
      <w:proofErr w:type="gramEnd"/>
    </w:p>
    <w:p w:rsidR="002D3F24" w:rsidRPr="00A77C83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2D3F24" w:rsidRDefault="006A76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17. Культура</w:t>
      </w:r>
    </w:p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2D3F24" w:rsidRDefault="006A76D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Сеть учреждений культуры представляют следующие учреждения: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муниципальное казенное учреждение  «Управление культуры, спорта и молодёжной политики администрации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района» в статусе юридического лица; 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- МАУК «Централизованная клубная система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района», которая включает в себя 35 обособленных подразделений (1 РДК, 10 СДК, 21 СК, 1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СЦДиС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);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- МБУК «Централизованная библиотечная система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района», которая включает в себя 25 обособленных подразделений (22 сельские библиотеки, 1 городская библиотека, 1 центральная районная библиотека, 1 центральная районная детская библиотека); 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ab/>
        <w:t>- МБУДО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Ужурская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ДШИ»; 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 МБУК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Златоруновский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поселковый музей».  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Организацию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культурно-досуговой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деятельности в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Ужурском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районе осуществляют 35 клубных учреждений. В 2020 году этот показатель снизился до 34, в связи с тем в 2019 году здание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Большеимышского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СК сгорело.  На их базе осуществляют свою деятельность 332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клубных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формирования. Численность участников в клубных  формированиях в 2019 году составила 4041 человек, в 2020 году  планируется 4073 человека, в 2021 году – 4 106 человек, 2022 году – 4 138 человек, 2023 году – 4 186 человек.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2019 году количество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видеоустановок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составило 10 единиц (Малый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Имыш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,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Прилужье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,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Кулун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,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Златоруновск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,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Тургужан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,  Белая Роща, Крутояр, Ильинка,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Приреченск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, п. Озеро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Учум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)  и 1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киноустоновка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в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г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. Ужур.  Количество посещений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видеосеансов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 в этом же году составило 7 755. С 2020 года зарегистрированных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видеоустановок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составило 6 единиц (Малый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Имыш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,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Кулун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,  Крутояр, Ильинка,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Приреченск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, п. Озеро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Учум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) и 1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киноустоновка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в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г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. Ужур.   Количество посещений в 2020-2023 годах планируется 16 000.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Численность работников учреждений культурно–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досугового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типа в отчетном году составила 113 человек,  в том числе,  специалистов  культурно–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досуговой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 деятельности  - 110 человек. В 2020 году данный показатель не изменится.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Количество посетителей на платных мероприятиях в 2019 году составило 135 517 человек, в 2019 году  данный показатель увеличится и составит 140 832 человека, 2021 году – 146 146 человек, 2022 году – 151 460 человек, 2023 году – 159 432 человека.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Библиотечное обслуживание населения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осуществляют 25 библиотек</w:t>
      </w:r>
      <w:r>
        <w:rPr>
          <w:rFonts w:ascii="Times New Roman CYR" w:hAnsi="Times New Roman CYR" w:cs="Times New Roman CYR"/>
          <w:color w:val="1F497D"/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sz w:val="28"/>
          <w:szCs w:val="28"/>
        </w:rPr>
        <w:t xml:space="preserve">из них  22 библиотек имеют доступ к интернету. В 2020-2023 годах данный показатель составит 22 библиотеки подключенных к сети интернет.  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Численность работников централизованной библиотечной системы составляет 40 человек, из них библиотечных работников 39 человек. Библиотечный фонд ЦБС насчитывает 219,040 тыс. экземпляров, в 2020-2023 году данный показатель составит  207,60  тыс. экземпляров. Количество экземпляров библиотечного фонда на 1 000 человек  в 2019 году  составило 7 158,17  экземпляров, в 2020-2023 годах этот показатель планируется в размере 6 675 экземпляров. Количество пользователей библиотек района насчитывает 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15 241  человек, в 2020-2023 ожидается 15 300 пользователей. Число посещений ЦБС в 2019 году составило 160,689  тыс. человек,  в 2020 году и  в последующие годы ожидается на уровне 164,600  тыс. человек. 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На территории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действует Детская школа искусств. Одной из важнейших задач ДШИ является выявление, поддержка и сопровождение одаренных детей в области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культуры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.К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оличество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учащихся в  2019-2020 учебном году  составила 224 человека. 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сети учреждений культуры района осуществляет деятельность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Златоруновский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поселковый музей. Число работников учреждения составляет 3 человека.  Основной фонд музея насчитывает 2 112 предмета,  к 2023 году планируется сохранить этого показателя. Объем экспонируемых предметов составляет  100 %.   Численность посетителей музея по итогам 2019 года  - 1 552 человека, в 2020 году прогнозируется увеличить показатель до 1 600, в 2021 году до 1 650, в 2022 году до 1700, в 2023 году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до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1750.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В 2019 году на реализацию мероприятий муниципальной программы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«Комплексное развитие культуры и искусства в муниципальном образовании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район»  было освоено 85 917,3 тыс. рублей: за счет средств федерального бюджета – 167,0 тыс. рублей, за счет средств краевого бюджета 31 523,4 тыс. рублей, за счет средств местного бюджета – 54 226,9 тыс. рублей.</w:t>
      </w:r>
      <w:proofErr w:type="gramEnd"/>
    </w:p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2D3F24" w:rsidRDefault="006A76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28. Физическая культура и спорт</w:t>
      </w:r>
    </w:p>
    <w:p w:rsidR="002D3F24" w:rsidRDefault="002D3F24" w:rsidP="00A77C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2D3F24" w:rsidRDefault="006A76DA" w:rsidP="00A77C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Целью организации физкультурно-массовой работы является – повышение заинтересованности жителей города и района в сохранении и укреплении здоровья, в занятиях физической культурой и спортом и, как следствие, планомерный рост основного показателя развития отрасли – удельного веса населения, систематически занимающегося физической культурой и спортом. </w:t>
      </w:r>
    </w:p>
    <w:p w:rsidR="002D3F24" w:rsidRDefault="006A76DA" w:rsidP="00A77C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Для достижения поставленных задач на территории разработана система программных мероприятий, включающих в себя:</w:t>
      </w:r>
    </w:p>
    <w:p w:rsidR="002D3F24" w:rsidRDefault="006A76DA" w:rsidP="00A77C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организацию круглогодичной системной работы по привлечению всех слоев населения к систематическим занятиям физической культурой и спортом;</w:t>
      </w:r>
    </w:p>
    <w:p w:rsidR="002D3F24" w:rsidRDefault="006A76DA" w:rsidP="00A77C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создание условий для развития спорта инвалидов и их занятий физической культурой;</w:t>
      </w:r>
    </w:p>
    <w:p w:rsidR="002D3F24" w:rsidRDefault="006A76DA" w:rsidP="00A77C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организацию регулярных занятий физической культурой и спортом в трудовых коллективах, в клубах по месту жительства и учебы.</w:t>
      </w:r>
    </w:p>
    <w:p w:rsidR="002D3F24" w:rsidRDefault="006A76DA" w:rsidP="00A77C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районе развиваются 23 вида спорта, из них базовые:  лыжные гонки, вольная борьба, дзюдо, самбо, пауэрлифтинг. Наибольшим количеством занимающихся представлены такие виды спорта: футбол,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баскетбол, волейбол, настольный теннис, самбо, дзюдо, лыжные гонки. </w:t>
      </w:r>
    </w:p>
    <w:p w:rsidR="002D3F24" w:rsidRDefault="006A76DA" w:rsidP="00A77C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Материально-техническая база Центра физкультурно-спортивной подготовки «Сокол» позволяет проводить физкультурно-спортивные мероприятия не только муниципального, но и краевого уровня.</w:t>
      </w:r>
    </w:p>
    <w:p w:rsidR="002D3F24" w:rsidRDefault="006A76DA" w:rsidP="00A77C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По-прежнему, остается качественным уровень подготовки спортсменов по борьбе самбо, дзюдо, пауэрлифтингу, лыжным гонкам, волейболу и соответственно высокие результаты, показанные на соревнованиях разного уровня.</w:t>
      </w:r>
    </w:p>
    <w:p w:rsidR="002D3F24" w:rsidRDefault="006A76DA" w:rsidP="00A77C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районе организована работа 6 физкультурно-спортивных клубов по месту жительства и 11 физкультурно-спортивных клубов образовательных учреждений. Физкультурно-спортивные клубы являются центром спортивной жизни для местного сообщества и способом увеличения числа жителей, вовлеченных в физкультурно-спортивную деятельность. </w:t>
      </w:r>
    </w:p>
    <w:p w:rsidR="002D3F24" w:rsidRDefault="006A76DA" w:rsidP="00A77C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Количество спортивных сооружений всех форм собственности составляет  63 объекта, (в дальнейшем по прогнозу увеличения не планируется):</w:t>
      </w:r>
    </w:p>
    <w:p w:rsidR="002D3F24" w:rsidRDefault="006A76DA" w:rsidP="00A77C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30 спортивный зал, 1 бассейн, 1 тир, 4 тренажерных зала, 1 теннисный холл, 1 зал для фитнеса, 1 спортивное сооружение  (в дальнейшем по прогнозу увеличения не планируется);</w:t>
      </w:r>
    </w:p>
    <w:p w:rsidR="002D3F24" w:rsidRDefault="006A76DA" w:rsidP="00A77C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 крытый каток с искусственным льдом;</w:t>
      </w:r>
    </w:p>
    <w:p w:rsidR="002D3F24" w:rsidRDefault="006A76DA" w:rsidP="00A77C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23 плоскостных сооружений;</w:t>
      </w:r>
    </w:p>
    <w:p w:rsidR="002D3F24" w:rsidRDefault="006A76DA" w:rsidP="00A77C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6 физкультурно-спортивных клубов по месту жительства. </w:t>
      </w:r>
    </w:p>
    <w:p w:rsidR="002D3F24" w:rsidRDefault="006A76DA" w:rsidP="00A77C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Численность населения систематически занимающегося физкультурой и спортом, на конец периода – 8915 человек (увеличение на 7,29 % за счет увеличения численности занимающихся, увеличение составило  650 человек).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</w:t>
      </w:r>
      <w:r>
        <w:rPr>
          <w:rFonts w:ascii="Times New Roman CYR" w:hAnsi="Times New Roman CYR" w:cs="Times New Roman CYR"/>
          <w:sz w:val="28"/>
          <w:szCs w:val="28"/>
        </w:rPr>
        <w:t>о прогнозам планируется дальнейшее увеличение показателя за счет увеличения численности занимающихся к 2022 году на 2345 человек.</w:t>
      </w:r>
    </w:p>
    <w:p w:rsidR="002D3F24" w:rsidRDefault="006A76DA" w:rsidP="00A77C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В отчетном году доля обучающихся и студентов, систематически занимающихся физической культурой и спортом, в общей численности обучающихся и студентов – 60,88%, численность обучающихся и студентов, систематически занимающихся физической культурой и спортом, на конец периода – 6710 человек, по прогнозу планируется дальнейшее увеличение к 2022 году на 8,12%(за счет увеличения численности учащихся и студентов, занимающихся физической культурой и спортом на 895 человек).</w:t>
      </w:r>
      <w:proofErr w:type="gramEnd"/>
    </w:p>
    <w:p w:rsidR="002D3F24" w:rsidRDefault="006A76DA" w:rsidP="00A77C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MS Sans Serif" w:hAnsi="MS Sans Serif" w:cs="MS Sans Serif"/>
          <w:sz w:val="16"/>
          <w:szCs w:val="16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В 2018 году доля населения, занимающегося физической культурой и спортом по месту работы, в общей численности населения, занятого в экономике – 18,42%, численность населения, систематически занимающегося физической культурой и спортом по месту работы, на конец периода – 2602 человека, по прогнозам планируется дальнейшее увеличение к 2022 году на 8,08% (за счет увеличения численности населения систематически, занимающегося физической культурой и спортом по месту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работы,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занятого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в экономике на 1141 человек).</w:t>
      </w:r>
    </w:p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2D3F24" w:rsidRDefault="006A76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19. Социальная защита населения</w:t>
      </w:r>
    </w:p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2D3F24" w:rsidRDefault="006A76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20. Жилищно-коммунальное хозяйство</w:t>
      </w:r>
    </w:p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Общая площадь жилищного фонда всех форм собственности в 2019 году составила 685,1 тыс. кв. м., что по  сравнению с 2018 годом  больше на 3,3 тыс. кв. м. На территории района 165 многоквартирных жилых домов, из них 84 % расположены на земельных участках, в отношении которых осуществлен государственный кадастровый учет.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сфере жилищно-коммунального хозяйства района функционируют следующие организации,  к основным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видам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 деятельности которых относятся услуги водоснабжения и водоотведения для населения и предприятий, теплоснабжение, сбор промышленных и бытовых отходов: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ООО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Ужурское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ЖКХ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(управляющая организация, услуги тепло-, водоснабжение, водоотведение);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ООО «ЖКХ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района» (услуги тепло-, водоснабжение)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АО «Искра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»</w:t>
      </w:r>
      <w:r>
        <w:rPr>
          <w:rFonts w:ascii="Times New Roman CYR" w:hAnsi="Times New Roman CYR" w:cs="Times New Roman CYR"/>
          <w:sz w:val="28"/>
          <w:szCs w:val="28"/>
        </w:rPr>
        <w:t xml:space="preserve"> (теплоснабжение);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ООО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Сибтепло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>»</w:t>
      </w:r>
      <w:r>
        <w:rPr>
          <w:rFonts w:ascii="Times New Roman CYR" w:hAnsi="Times New Roman CYR" w:cs="Times New Roman CYR"/>
          <w:sz w:val="28"/>
          <w:szCs w:val="28"/>
        </w:rPr>
        <w:t xml:space="preserve"> (водоснабжение);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МУП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АлПи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и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 К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о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»</w:t>
      </w:r>
      <w:r>
        <w:rPr>
          <w:rFonts w:ascii="Times New Roman CYR" w:hAnsi="Times New Roman CYR" w:cs="Times New Roman CYR"/>
          <w:sz w:val="28"/>
          <w:szCs w:val="28"/>
        </w:rPr>
        <w:t>, (водоснабжение);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ОАО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Красноярскэнергосбыт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» (электроэнергия);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Красноярская дирекция по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тепловодоснабжению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(услуги тепло, водоснабжение);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АО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КраЭко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» (теплоснабжение).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Кроме     хозрасчетных      организаций,       предприятия     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жилищно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-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коммунального хозяйства обслуживают более 95 бюджетных учреждений и около 31,6 тыс. потребителей, проживающих в многоквартирных домах и частном секторе. Общая сумма доходов от реализации  жилищно-коммунальных услуг в районе за 2019 год по сравнению с 2018 годом уменьшилась на  </w:t>
      </w:r>
      <w:proofErr w:type="spellStart"/>
      <w:proofErr w:type="gramStart"/>
      <w:r>
        <w:rPr>
          <w:rFonts w:ascii="Times New Roman CYR" w:hAnsi="Times New Roman CYR" w:cs="Times New Roman CYR"/>
          <w:sz w:val="28"/>
          <w:szCs w:val="28"/>
        </w:rPr>
        <w:t>на</w:t>
      </w:r>
      <w:proofErr w:type="spellEnd"/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 5,9  % и составила 346171,8 тыс. руб.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Сумма начисленных платежей населению за предоставление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жилищно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-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highlight w:val="yellow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коммунальных услуг в 2019 году составляет 148745,2 тыс. руб. Уровень собираемости платежей за предоставленные жилищно-коммунальные услуги - 95,2 % . Прогнозный показатель планируется к 2023 на уровне 95,2 %. Уровень возмещения населением затрат на предоставление услуг по установленным тарифам составил 72,99 %. 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Реформирование и модернизация жилищно-коммунального хозяйства и повышение энергетической эффективности», подпрограммы «Модернизация, реконструкция и капитальный ремонт объектов коммунальной инфраструктуры муниципальных образований Красноярского края» освоено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6850,0 тыс. рублей: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замена участка центрального водопровода  г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.У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журе, протяженностью 579 м. на сумму 4125,0 тыс. руб.;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- замена котельного оборудования в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.К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улун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, на сумму 627,3 тыс. руб.;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замена оборудования в котельной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.С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олгон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, на сумму 720,0 тыс. руб.;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замена участка центрального водопровода  г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.У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журе, протяженностью 171,5 м. на сумму 1377,7 тыс. руб. (на экономию от конкурсных процедур).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За счет средств районного бюджета 2424,4 рублей: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highlight w:val="yellow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- для объектов образования - ремонт тепловых сетей в п.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Арабкаево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– 158 тыс. руб.(120 м.), с. Ильинка – 269 тыс. руб. (140 м.)</w:t>
      </w:r>
      <w:proofErr w:type="gramEnd"/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ремонт объектов водоснабжения в д.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Баит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– 380 тыс. руб. (434,3 м.) и д. Красное Озеро – 350 тыс. руб. (участками на протяженности 1300 м., новый участок  130 м.);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ремонт объектов водоснабжения в п.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Прилужье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на сумму 500 тыс. руб. (451,3 м.)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ремонт водонапорной башни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в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с. Михайловка на сумму 243 тыс. рублей.</w:t>
      </w:r>
    </w:p>
    <w:p w:rsidR="002D3F24" w:rsidRDefault="006A76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ремонт водопроводной сети в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.К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улун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– 300,0 тыс. рублей (70,7 м.)</w:t>
      </w:r>
    </w:p>
    <w:p w:rsidR="002D3F24" w:rsidRDefault="006A76DA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16"/>
          <w:szCs w:val="16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ремонт тепловых сетей в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.З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латоруновск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– 235 тыс. рублей (46 м.)</w:t>
      </w:r>
    </w:p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2D3F24" w:rsidRDefault="002D3F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A335D8" w:rsidRDefault="00A335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A335D8" w:rsidRPr="00A335D8" w:rsidRDefault="00A335D8" w:rsidP="00A335D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ar-SA"/>
        </w:rPr>
      </w:pPr>
      <w:r w:rsidRPr="00A335D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Глава района       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335D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К.Н. Зарецкий</w:t>
      </w:r>
    </w:p>
    <w:p w:rsidR="006A76DA" w:rsidRDefault="006A76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sectPr w:rsidR="006A76DA" w:rsidSect="002D3F24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51675C2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A77C83"/>
    <w:rsid w:val="002D3F24"/>
    <w:rsid w:val="006A76DA"/>
    <w:rsid w:val="00926026"/>
    <w:rsid w:val="00A335D8"/>
    <w:rsid w:val="00A77C83"/>
    <w:rsid w:val="00CE3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8395</Words>
  <Characters>47852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56135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Kostyeva</dc:creator>
  <cp:lastModifiedBy>Kostyeva</cp:lastModifiedBy>
  <cp:revision>5</cp:revision>
  <cp:lastPrinted>2020-11-05T01:29:00Z</cp:lastPrinted>
  <dcterms:created xsi:type="dcterms:W3CDTF">2020-11-02T06:40:00Z</dcterms:created>
  <dcterms:modified xsi:type="dcterms:W3CDTF">2020-11-05T01:29:00Z</dcterms:modified>
</cp:coreProperties>
</file>