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E52ED" w:rsidP="00FD55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Пояснительная записка к докладу главы по оценке эффективности ОМСУ (607 указ)</w:t>
      </w:r>
    </w:p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I. Экономическое развитие </w:t>
      </w:r>
    </w:p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1. Число субъектов малого и среднего предпринимательства, 2. Доля среднесписочной численности работников (без внешних совместителей) малых и средн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их предприятий в среднесписочной численности работников (без внешних совместителей) всех предприятий и организаций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0000" w:rsidRDefault="005E52ED" w:rsidP="0032164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2020 году доля среднесписочной численности работников малых и средних предприятий в общей среднесписочной численности работников всех пре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дприятий и организаций составила 14,21 %, в 2019 году - 15,18 %.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Уменьшение данного показателя произошло за счет снижения среднесписочной численности работников в крупных и средних организациях, работников малых предприятий и работников у индивидуальных пр</w:t>
      </w:r>
      <w:r>
        <w:rPr>
          <w:rFonts w:ascii="Times New Roman CYR" w:hAnsi="Times New Roman CYR" w:cs="Times New Roman CYR"/>
          <w:sz w:val="28"/>
          <w:szCs w:val="28"/>
        </w:rPr>
        <w:t>едпринимателей. Причиной этого стала пандемия COVID-19 и введенные из-за нее ограничения.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Прогнозируется рост данного показателя в 2021, 2022, 2023 годах до 14,46%, 14,64% и 14,82% соответственно.  Планируемый рост обуславливается увеличением численности м</w:t>
      </w:r>
      <w:r>
        <w:rPr>
          <w:rFonts w:ascii="Times New Roman CYR" w:hAnsi="Times New Roman CYR" w:cs="Times New Roman CYR"/>
          <w:sz w:val="28"/>
          <w:szCs w:val="28"/>
        </w:rPr>
        <w:t>алых предприятий и индивидуальных предпринимателей.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Число субъектов малого и среднего предпринимательства в расчете на 10000 человек населения в 2020 году уменьшилось по сравнению с 2019 годом с 148,47 единиц на 10000 человек населения до 135,24 единиц на </w:t>
      </w:r>
      <w:r>
        <w:rPr>
          <w:rFonts w:ascii="Times New Roman CYR" w:hAnsi="Times New Roman CYR" w:cs="Times New Roman CYR"/>
          <w:sz w:val="28"/>
          <w:szCs w:val="28"/>
        </w:rPr>
        <w:t xml:space="preserve">10000 человек. </w:t>
      </w:r>
    </w:p>
    <w:p w:rsidR="00000000" w:rsidRDefault="005E52ED" w:rsidP="0032164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Снижение показателя связано с уменьшением численности работников малых и средних предприятий, количества индивидуальных предпринимателей, в связи с переходом части индивидуальных предпринимателей в число самозанятых, ряда малых предприятий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 разряд микропредприятий, прекращение деятельности микропредприятий.</w:t>
      </w:r>
    </w:p>
    <w:p w:rsidR="00000000" w:rsidRDefault="005E52ED" w:rsidP="0032164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Прогнозируется рост данного показателя к 2021, 2022, 2023 годам до 136,85, 138,74 и 139,54 единиц на 10000 человек населения.  Планируемый рост обуславливается увеличением количества ма</w:t>
      </w:r>
      <w:r>
        <w:rPr>
          <w:rFonts w:ascii="Times New Roman CYR" w:hAnsi="Times New Roman CYR" w:cs="Times New Roman CYR"/>
          <w:sz w:val="28"/>
          <w:szCs w:val="28"/>
        </w:rPr>
        <w:t xml:space="preserve">лых предприятий и индивидуальных предпринимателей. 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MS Sans Serif" w:hAnsi="MS Sans Serif" w:cs="MS Sans Serif"/>
          <w:sz w:val="16"/>
          <w:szCs w:val="16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3. Объем инвестиций в основной капитал (за исключением бюджетных средств) в расчете на 1 человека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инвестиций в основной капитал за счет всех источников финансирования без субъектов малого предпр</w:t>
      </w:r>
      <w:r>
        <w:rPr>
          <w:rFonts w:ascii="Times New Roman CYR" w:hAnsi="Times New Roman CYR" w:cs="Times New Roman CYR"/>
          <w:sz w:val="28"/>
          <w:szCs w:val="28"/>
        </w:rPr>
        <w:t xml:space="preserve">инимательства и параметров неформальной деятельности в 2020 году составил 1675463,00 тыс. руб., что в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действующих ценах к 2019 году составляет 170,27 %, в сопоставимых ценах – 158,98 % к этому же периоду. По оценке, в 2021 году данный  показатель составит </w:t>
      </w:r>
      <w:r>
        <w:rPr>
          <w:rFonts w:ascii="Times New Roman CYR" w:hAnsi="Times New Roman CYR" w:cs="Times New Roman CYR"/>
          <w:sz w:val="28"/>
          <w:szCs w:val="28"/>
        </w:rPr>
        <w:t>1749183,37 тыс. руб., или 104,40 % в действующих и 100,00 % в сопоставимых ценах к уровню прошлого года. В 2022 году он  прогнозируется в сумме 1824398,26 тыс. руб.,  в 2023 году – 1901022,98 тыс. руб., что в сопоставимых ценах к уровню предшествующего год</w:t>
      </w:r>
      <w:r>
        <w:rPr>
          <w:rFonts w:ascii="Times New Roman CYR" w:hAnsi="Times New Roman CYR" w:cs="Times New Roman CYR"/>
          <w:sz w:val="28"/>
          <w:szCs w:val="28"/>
        </w:rPr>
        <w:t>а составит   100,0% соответственно. Темп роста инвестиций в основной капитал в действующих ценах к предшествующему периоду прогнозируется в 2022 году – 104,30%,  в 2023– 104,20 %.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инвестиций в районе определяется, в первую очередь, реализацией инвест</w:t>
      </w:r>
      <w:r>
        <w:rPr>
          <w:rFonts w:ascii="Times New Roman CYR" w:hAnsi="Times New Roman CYR" w:cs="Times New Roman CYR"/>
          <w:sz w:val="28"/>
          <w:szCs w:val="28"/>
        </w:rPr>
        <w:t>иционных проектов предприятиями агропромышленного комплекса. Удельный вес инвестиций сельского хозяйства занимает в 2020 году –72,87 %  в общем объеме инвестиций по Ужурскому району.  В отчетном году объем инвестиций в основной капитал за счет всех источни</w:t>
      </w:r>
      <w:r>
        <w:rPr>
          <w:rFonts w:ascii="Times New Roman CYR" w:hAnsi="Times New Roman CYR" w:cs="Times New Roman CYR"/>
          <w:sz w:val="28"/>
          <w:szCs w:val="28"/>
        </w:rPr>
        <w:t xml:space="preserve">ков финансирования (без субъектов малого предпринимательства) в этой сфере составил 1220957,00 тыс.руб., что в действующих ценах к 2019 году составляет 165,77 %,  и в сопоставимых ценах – 154,79 %. 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инвестиций за счет бюджетных средств в 2020 году вы</w:t>
      </w:r>
      <w:r>
        <w:rPr>
          <w:rFonts w:ascii="Times New Roman CYR" w:hAnsi="Times New Roman CYR" w:cs="Times New Roman CYR"/>
          <w:sz w:val="28"/>
          <w:szCs w:val="28"/>
        </w:rPr>
        <w:t>разился в сумме 127806,00 тыс. руб., или 262,72 % в действующих ценах к уровню 2019 года. Рост инвестиций за счет бюджетных источников объясняется тем, что в 2020 году в районе было продолжено строительство нового здания МБО ДО «Ужурская спортивная школа».</w:t>
      </w:r>
      <w:r>
        <w:rPr>
          <w:rFonts w:ascii="Times New Roman CYR" w:hAnsi="Times New Roman CYR" w:cs="Times New Roman CYR"/>
          <w:sz w:val="28"/>
          <w:szCs w:val="28"/>
        </w:rPr>
        <w:t xml:space="preserve"> Кроме того, Законом края о бюджете на 2020 год и плановый период 2021-2022 годов предусмотрено строительство детского сада на 190 мест в г. Ужур. В связи с этим в планируемом периоде на территории также ожидается увеличение инвестиций за счет бюджетных ис</w:t>
      </w:r>
      <w:r>
        <w:rPr>
          <w:rFonts w:ascii="Times New Roman CYR" w:hAnsi="Times New Roman CYR" w:cs="Times New Roman CYR"/>
          <w:sz w:val="28"/>
          <w:szCs w:val="28"/>
        </w:rPr>
        <w:t>точников.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2021 году инвестиции в основной капитал за счет бюджетных средств прогнозируются в размере 133429,46 тыс. руб., в 2022 – 139163,93 тыс. руб.,  в 2023 – 145011,94 тыс. руб.  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Сохраняется рост доли предприятий, направляющих инвестиции в приобрете</w:t>
      </w:r>
      <w:r>
        <w:rPr>
          <w:rFonts w:ascii="Times New Roman CYR" w:hAnsi="Times New Roman CYR" w:cs="Times New Roman CYR"/>
          <w:sz w:val="28"/>
          <w:szCs w:val="28"/>
        </w:rPr>
        <w:t>ние машин и оборудования. Доля инвестиций субъектов малого предпринимательства составляет около 2 % от общего объема инвестиций и в динамике сохраняется в таком же размере по прогнозу до 2023 года.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инвестиций в основной капитал (за исключением бюджет</w:t>
      </w:r>
      <w:r>
        <w:rPr>
          <w:rFonts w:ascii="Times New Roman CYR" w:hAnsi="Times New Roman CYR" w:cs="Times New Roman CYR"/>
          <w:sz w:val="28"/>
          <w:szCs w:val="28"/>
        </w:rPr>
        <w:t>ных средств) в Ужурском районе в расчете на одного жителя в 2020году выразился в сумме 50831,18 тыс.руб., что составляет 167,65 % к значению данного показателя в 2019 году (30319,21 тыс. руб.). В прогнозируемом периоде: в 2021 году этот показатель ожидаетс</w:t>
      </w:r>
      <w:r>
        <w:rPr>
          <w:rFonts w:ascii="Times New Roman CYR" w:hAnsi="Times New Roman CYR" w:cs="Times New Roman CYR"/>
          <w:sz w:val="28"/>
          <w:szCs w:val="28"/>
        </w:rPr>
        <w:t>я на уровне 53482,30 тыс. руб. (или 105,22 % к уровню предыдущего года), в 2022 – 56155,66 тыс. руб. (105,00 %), в 2023 – 58873,20 тыс. руб.(104,84%).</w:t>
      </w:r>
    </w:p>
    <w:p w:rsidR="00000000" w:rsidRDefault="005E52ED" w:rsidP="0032164C">
      <w:pPr>
        <w:widowControl w:val="0"/>
        <w:tabs>
          <w:tab w:val="left" w:pos="65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Инвестиционные проекты: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4"/>
        <w:gridCol w:w="1842"/>
        <w:gridCol w:w="5387"/>
        <w:gridCol w:w="1701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Наименование инвестора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Наименование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Стоимость/освоено, млн.руб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АО «Солгон»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Молочный комплекс КРС замкнутого типа на 250 голов основного стада и 500 голов молодняка (производственная мощность 3000 тонн молока в год), начало реализации проекта 2020 г, срок введения в эксплуатацию – 2022 г.</w:t>
            </w:r>
          </w:p>
          <w:p w:rsidR="00000000" w:rsidRDefault="005E52ED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Количество планируемых рабо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чих мест по итогам реализации проекта 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105,0 /69,9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АО «Солгон»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Строительство комплекса очистных сооружений ЛОС МБР-300 в с. Солгон Ужурского района Красноярского края.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Начало реализации проекта 2021 г, срок введения в эксплуатацию – 2022 г.</w:t>
            </w:r>
          </w:p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</w:p>
          <w:p w:rsidR="00000000" w:rsidRDefault="005E52ED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53,49/0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ООО Агрофирма «Учумская»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Создание селекционно-семеноводческого центра в Ужурском районе, (производственная мощность 30000 тонн семян в год), начало реализации проекта 2019 г, срок введения в эксплуатацию – 2022 г. Количество планируемых рабоч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их мест по итогам реализации проекта -75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1 200,0/199,2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АО «Искра»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Строительство хлебозавода с кондитерским цехом, (производственная мощность 2,5 тонны хлебобулочных изделий в сутки, 0,2 тонны кондитерских изделий в сутки), начало реализации проекта мар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т 2020 г.,срок введения в эксплуатацию – июнь 2021 г. Количество планируемых рабочих мест по итогам реализации проекта -50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100, 0/85,0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АО «Искра»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Строительство линии приготовления комбикормов, (производственная мощность 20 тонн в час), начало реализации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проекта апрель 2020 г, срок введения в эксплуатацию – июль 2021 г. Количество планируемых рабочих мест по итогам реализации проекта -8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120,0/80,0</w:t>
            </w:r>
          </w:p>
        </w:tc>
      </w:tr>
    </w:tbl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5E52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2019 - 2020 годах инвестиционные проекты реализованы и реализуются в текущем году,  по-прежнему,  предпри</w:t>
      </w:r>
      <w:r>
        <w:rPr>
          <w:rFonts w:ascii="Times New Roman CYR" w:hAnsi="Times New Roman CYR" w:cs="Times New Roman CYR"/>
          <w:sz w:val="28"/>
          <w:szCs w:val="28"/>
        </w:rPr>
        <w:t xml:space="preserve">ятиями агропромышленного комплекса. </w:t>
      </w:r>
    </w:p>
    <w:p w:rsidR="00000000" w:rsidRDefault="005E52ED">
      <w:pPr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</w:p>
    <w:p w:rsidR="00000000" w:rsidRDefault="005E52ED">
      <w:pPr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</w:p>
    <w:p w:rsidR="00000000" w:rsidRDefault="005E52ED">
      <w:pPr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</w:p>
    <w:p w:rsidR="00000000" w:rsidRDefault="005E52ED">
      <w:pPr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</w:p>
    <w:p w:rsidR="00000000" w:rsidRDefault="005E52ED">
      <w:pPr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</w:p>
    <w:p w:rsidR="00000000" w:rsidRDefault="005E52ED">
      <w:pPr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</w:p>
    <w:p w:rsidR="00000000" w:rsidRDefault="005E52ED">
      <w:pPr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</w:p>
    <w:p w:rsidR="00000000" w:rsidRDefault="005E52ED">
      <w:pPr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</w:p>
    <w:p w:rsidR="00000000" w:rsidRDefault="005E52ED">
      <w:pPr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</w:p>
    <w:p w:rsidR="00000000" w:rsidRDefault="005E52ED">
      <w:pPr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</w:p>
    <w:p w:rsidR="00000000" w:rsidRDefault="005E52ED">
      <w:pPr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</w:p>
    <w:p w:rsidR="00000000" w:rsidRDefault="005E52ED">
      <w:pPr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16"/>
          <w:szCs w:val="16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709"/>
        <w:gridCol w:w="1275"/>
        <w:gridCol w:w="1418"/>
        <w:gridCol w:w="1276"/>
        <w:gridCol w:w="1275"/>
        <w:gridCol w:w="1276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Значение показателя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2019 факт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2020 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2021 прогноз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2022 прогноз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2023 прогноз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69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 Объем инвестиций в основной капитал за счет всех источников финансирования (без субъектов мал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ого предпринимательства),тыс.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984025,00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1675463,00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1749183,37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1824398,26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1901022,98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1.1. Темп роста в действующих ценах к соответствующему периоду предыдущего года, 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81,44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170,27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104,40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104,20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1.2.Индекс-дефлятор,%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1,057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1,071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1,044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1,043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1,042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7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1.3. Темп роста в сопоставимых ценах к соответствующему периоду предыдущего года, 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77,05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158,98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100,00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2.Инвестиции в основной капитал за счет бюджетных средств, 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48647,00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127806,00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133429,46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139166,93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145011,94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3. Объем ин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вестиций без бюджетных средств, тыс. руб. (стр.1-стр.2)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935378,00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1547657,00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1615753,91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1685231,33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1756011,04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4. Среднегодовая численность населения Ужурского района, 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30851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30447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30211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29827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41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5. Объем инвестиций в основной капитал (за исключени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ем бюджетных средств) в расчете на 1 человека населения, руб. (стр.3*1000/стр.4)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30319,21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50831,18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53482,30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56155,66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58873,20</w:t>
            </w:r>
          </w:p>
        </w:tc>
      </w:tr>
    </w:tbl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4. Доля площади земельных участков, являющихся объектами налогообложения земельным налогом, в общей площади территории муниципа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льного, городского округов (муниципального района)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2020 году в связи с ростом выкупа земельных участков собственниками зданий (строений, сооружений), переоформлением юридическими лицами права постоянного (бессрочного) пользования земельными участками в </w:t>
      </w:r>
      <w:r>
        <w:rPr>
          <w:rFonts w:ascii="Times New Roman CYR" w:hAnsi="Times New Roman CYR" w:cs="Times New Roman CYR"/>
          <w:sz w:val="28"/>
          <w:szCs w:val="28"/>
        </w:rPr>
        <w:t xml:space="preserve">собственность, предоставлением в собственность земельных участков многодетным семьям увеличилась доля площади земельных участков, являющихся объектами налогообложения земельным налогом, в общей площади территории муниципального района до 35%. На 2021-2023 </w:t>
      </w:r>
      <w:r>
        <w:rPr>
          <w:rFonts w:ascii="Times New Roman CYR" w:hAnsi="Times New Roman CYR" w:cs="Times New Roman CYR"/>
          <w:sz w:val="28"/>
          <w:szCs w:val="28"/>
        </w:rPr>
        <w:t>годы рост данного показателя не планируется.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lastRenderedPageBreak/>
        <w:t>5. Доля прибыльных сельскохозяйственных организаций в общем их числе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Агропромышленный комплекс является важным сектором экономики района и занимает одно из ведущих мест в экономике муниципального образования.</w:t>
      </w:r>
    </w:p>
    <w:p w:rsidR="00000000" w:rsidRDefault="005E52ED" w:rsidP="0032164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территории Ужурского района  в 2020 году сельскохозяйственной деятельностью занимались: 3 акционерных общества, 4 общества с ограниченной ответственностью, 1 сельскохозяйственный производственный кооператив, 1 государственное предприятие, 1 сельскохозя</w:t>
      </w:r>
      <w:r>
        <w:rPr>
          <w:rFonts w:ascii="Times New Roman CYR" w:hAnsi="Times New Roman CYR" w:cs="Times New Roman CYR"/>
          <w:sz w:val="28"/>
          <w:szCs w:val="28"/>
        </w:rPr>
        <w:t>йственный потребительский кооператив и 24 крестьянских (фермерских) хозяйств.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MS Sans Serif" w:hAnsi="MS Sans Serif" w:cs="MS Sans Serif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Доля прибыльных сельскохозяйственных организаций в 2020 году составила 100%. Изменения данного показателя на трехлетний период не планируется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6. Доля протяженности автомобильн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>Протяженность автомобильных дорог в районе составляет 320,5 км, в том числе, общего пользо</w:t>
      </w:r>
      <w:r>
        <w:rPr>
          <w:rFonts w:ascii="Times New Roman CYR" w:hAnsi="Times New Roman CYR" w:cs="Times New Roman CYR"/>
          <w:sz w:val="28"/>
          <w:szCs w:val="28"/>
        </w:rPr>
        <w:t>вания местного значения, не отвечающих нормативным требованиям  – 0,0 км (0 % от общей протяженности  автомобильных дорог района).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7. Доля населения, проживающего в населенных пунктах, не имеющих регулярного автобусного и (или) железнодорожного сообщения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 административным центром муниципального, городского округов (муниципального района) в общей численности населения муниципального, городского округов (муниципального района)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Среднегодовая численность населения в 2020 году составила 30851 человек, а средн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егодовая численность населения проживающего  населенных пунктах имеющих регулярное автобусное или железнодорожное сообщение с административным центром городского округа составляет 30384 человек.</w:t>
      </w:r>
      <w:r>
        <w:rPr>
          <w:rFonts w:ascii="Times New Roman CYR" w:hAnsi="Times New Roman CYR" w:cs="Times New Roman CYR"/>
          <w:sz w:val="28"/>
          <w:szCs w:val="28"/>
        </w:rPr>
        <w:tab/>
        <w:t>Доля населения, проживающего в населенных пунктах, не имеющих</w:t>
      </w:r>
      <w:r>
        <w:rPr>
          <w:rFonts w:ascii="Times New Roman CYR" w:hAnsi="Times New Roman CYR" w:cs="Times New Roman CYR"/>
          <w:sz w:val="28"/>
          <w:szCs w:val="28"/>
        </w:rPr>
        <w:t xml:space="preserve"> регулярного автобусного и (или) железнодорожного сообщения с административным центром (г. Ужур) Ужурского района в общей численности населения района в 2020 году оставляет 1,51 %.</w:t>
      </w:r>
    </w:p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61"/>
        <w:gridCol w:w="3216"/>
        <w:gridCol w:w="581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№п/п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Населенный пункт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Среднегодовая численность населения, человек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п.Ма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рьясово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2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п.Сухореченский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168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д.Кутузовка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131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п.Отделение Бригады №2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п.Солбатский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140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ИТОГО: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467</w:t>
            </w:r>
          </w:p>
        </w:tc>
      </w:tr>
    </w:tbl>
    <w:p w:rsidR="00000000" w:rsidRDefault="005E52E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8. Среднемесячная номинальная начисленная заработная плата работников: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8.1. крупных и средних предприятий и некоммерческих организаций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;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Среднемесячная номинальная заработная плата работников крупных и средних предприятий и некоммерческих организаций Ужурского района в расчете на одного работающего в 2020 году составила 42362,32 рубля. Средняя заработная плата в 2020 году увеличилась н</w:t>
      </w:r>
      <w:r>
        <w:rPr>
          <w:rFonts w:ascii="Times New Roman CYR" w:hAnsi="Times New Roman CYR" w:cs="Times New Roman CYR"/>
          <w:sz w:val="28"/>
          <w:szCs w:val="28"/>
        </w:rPr>
        <w:t>а 15,5% или 5673,75 руб., в 2019 году данный показатель составлял 36688,57 рублей.  На динамику показателя повлияли следующие причины, это повышение уровня оплаты труда на сельскохозяйственных предприятиях района, которые не были ограничены в ведении своей</w:t>
      </w:r>
      <w:r>
        <w:rPr>
          <w:rFonts w:ascii="Times New Roman CYR" w:hAnsi="Times New Roman CYR" w:cs="Times New Roman CYR"/>
          <w:sz w:val="28"/>
          <w:szCs w:val="28"/>
        </w:rPr>
        <w:t xml:space="preserve"> деятельности в пондемию  и рост минимального размера оплаты труда. На прогнозный период запланирован рост заработной платы работников крупных и средних предприятий на 108,0% в 2021 году, на 8,3% в 2022 году и на 8,6% в 2023 году, что составит 45751,3, 495</w:t>
      </w:r>
      <w:r>
        <w:rPr>
          <w:rFonts w:ascii="Times New Roman CYR" w:hAnsi="Times New Roman CYR" w:cs="Times New Roman CYR"/>
          <w:sz w:val="28"/>
          <w:szCs w:val="28"/>
        </w:rPr>
        <w:t>48,7 и 53809,3 руб. соответственно.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8.2. муниципальных дошкольных образовательных учреждений;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За 2020 год 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реднемесячная номинальная начисленная заработная плата работников муниципальных дошкольных образовательных учреждений увеличилась на 14,8% и соста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вила </w:t>
      </w:r>
      <w:r>
        <w:rPr>
          <w:rFonts w:ascii="Times New Roman CYR" w:hAnsi="Times New Roman CYR" w:cs="Times New Roman CYR"/>
          <w:sz w:val="28"/>
          <w:szCs w:val="28"/>
        </w:rPr>
        <w:t>27 263,80.  В 2021 и 2023 годы данный показатель возрастет с учетом индекса до 32747,82 руб.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8.3. муниципальных общеобразовательных учреждений;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Заработная плата работников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муниципальных общеобразовательных учреждений в 2020 году составила 33917,9 ру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б., что больше на 9,1% по сравнению с заработной платой 2019 года. В 2021 -2023 году заработная плата данной категории работников возрастет до 35138,9 руб.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ab/>
        <w:t xml:space="preserve">Среднемесячная заработная плата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учителей муниципальных общеобразовательных учреждений в 2020 году 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оставила 40750,5 руб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lastRenderedPageBreak/>
        <w:t>8.4. муниципальных учреждений культуры и искусства;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Среднемесячная заработная плата работников муниципальных учреждений культуры Ужурского района в 2020 году составила 29 597,02 рублей.  В 2021-2023 годы данный показатель должен бы</w:t>
      </w:r>
      <w:r>
        <w:rPr>
          <w:rFonts w:ascii="Times New Roman CYR" w:hAnsi="Times New Roman CYR" w:cs="Times New Roman CYR"/>
          <w:sz w:val="28"/>
          <w:szCs w:val="28"/>
        </w:rPr>
        <w:t>ть не ниже достигнутого показателя в 2020 году.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8.5. муниципальных учреждений физической культуры и спорта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II. Дошкольное образование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9. Доля детей в возрасте 1-6 лет, получающих дошкольную общеобразовательную услугу и (или) услугу по их содержанию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в муниципальных общеобразовательных учреждениях в общей численности детей в возрасте 1-6 лет, 10. 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6 лет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Доля детей в возрасте  от 1 до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 равна 41,05%, данный показатель увеличился н</w:t>
      </w:r>
      <w:r>
        <w:rPr>
          <w:rFonts w:ascii="Times New Roman CYR" w:hAnsi="Times New Roman CYR" w:cs="Times New Roman CYR"/>
          <w:sz w:val="28"/>
          <w:szCs w:val="28"/>
        </w:rPr>
        <w:t>а 1,65% в связи с ростом рождаемости, а так же ростом численности детей  получающих дошкольную образовательную услугу в городе.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Доля детей в возрасте 1-6 лет, состоящих на учете для определения в муниципальные дошкольные образовательные учреждения, в обще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й численности детей в возрасте 1 - 6 лет составляет 2,21 %, данный показатель увеличился на 1,42% по сравнению с 2019 годом в связи с увеличением численности детей, поставленных на учет данной возрастной категории.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11. Доля муниципальных дошкольных образо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вательных учреждений, здания которых находятся в аварийном состоянии или требуют капитального ремонта, в общем числе муниципальных дошкольных общеобразовательных учреждений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По состоянию на 01.01.2019 года муниципальных дошкольных образовательных учрежден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ий, здания которых находятся в аварийном состоянии или требуют капитального ремонта, в Ужурском районе нет.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III. Общее и дополнительное образование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13. Доля выпускников муниципальных общеобразовательных учреждений, не получивших аттестат о среднем (пол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ном) образовании, в общей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lastRenderedPageBreak/>
        <w:t>численности выпускников муниципальных общеобразовательных учреждений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За 2019-2020 учебный год в муниципальных общеобразовательных учреждениях Ужурского района из 157 выпускников допущенных к выпускным экзаменам, 157 человек сдал</w:t>
      </w:r>
      <w:r>
        <w:rPr>
          <w:rFonts w:ascii="Times New Roman CYR" w:hAnsi="Times New Roman CYR" w:cs="Times New Roman CYR"/>
          <w:sz w:val="28"/>
          <w:szCs w:val="28"/>
        </w:rPr>
        <w:t>и единый государственный экзамен по русскому языку и математике, следовательно, получили аттестат о среднем (полном) образовании, поэтому доля выпускников, не получивших аттестат,  0 %.</w:t>
      </w: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14. Доля муниципальных общеобразовательных учреждений, соответствующи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х современным требованиям обучения, в общем количестве муниципальных общеобразовательных учреждений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учреждений составила </w:t>
      </w:r>
      <w:r>
        <w:rPr>
          <w:rFonts w:ascii="Times New Roman CYR" w:hAnsi="Times New Roman CYR" w:cs="Times New Roman CYR"/>
          <w:sz w:val="28"/>
          <w:szCs w:val="28"/>
        </w:rPr>
        <w:t>87,97%.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15.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По состоянию на 01 январ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я 2020 года муниципальных общеобразовательных учреждений, здания которых находятся в аварийном состоянии или требуют капитального ремонта, в Ужурском районе нет.</w:t>
      </w: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16. Доля детей первой и второй групп здоровья в общей численности обучающихся в муниципальных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общеобразовательных учреждениях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Доля детей первой и второй групп здоровья в общей численности обучающихся в муниципальных общеобразовательных учреждениях за отчетный 2020 год составила 80,63%, что на 6,32% меньше по сравнению с предыдущим годом.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17. До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Доля обучающихся в муниципальных общеобразовательных учреждениях, занима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ющихся во вторую (третью) смену, в общей численности обучающихся в муниципальных общеобразовательных учреждениях составила 8,59 %, по сравнению с 2019 г. увеличилось на 1,92 %, увеличение данного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показателя произошло в связи с переездом  начальной школы МБ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ОУ «Ужурская СОШ № 6» в другое здание.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18. 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Расходы бюджета муниципального образования на общее образование в рас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чете на 1 обучающегося в муниципальных общеобразовательных учреждениях составили 38,18 тыс. рублей.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19. Доля детей в возрасте 5-18 лет, получающих услуги по дополнительному образованию в организациях различной организационно-правовой формы и формы собстве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нности, в общей численности детей данной возрастной группы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ab/>
        <w:t xml:space="preserve">Доля детей в возрасте 5-18 лет, получающих услуги по дополнительному образованию в организациях различной организационно-правовой формы собственности, в общей численности детей данной возрастной </w:t>
      </w:r>
      <w:r>
        <w:rPr>
          <w:rFonts w:ascii="Times New Roman CYR" w:hAnsi="Times New Roman CYR" w:cs="Times New Roman CYR"/>
          <w:sz w:val="28"/>
          <w:szCs w:val="28"/>
        </w:rPr>
        <w:t xml:space="preserve">группы  равна 67,74%, по сравнению с 2019 годом данный показатель повысился на 7,19%. 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IV. Культура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 отрасли «Культура» в Ужурском районе основную координационную деятельность осуществляет муниципальное казенное учреждение «Управление культуры, спорта </w:t>
      </w:r>
      <w:r>
        <w:rPr>
          <w:rFonts w:ascii="Times New Roman CYR" w:hAnsi="Times New Roman CYR" w:cs="Times New Roman CYR"/>
          <w:sz w:val="28"/>
          <w:szCs w:val="28"/>
        </w:rPr>
        <w:t>и молодежной политики Ужурского района»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территории Ужурского района 61 учреждения культуры, из них: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- 34 клубных учреждений;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- 25 библиотек;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Детская школа искусств;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Златоруновский поселковый музей.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MS Sans Serif" w:hAnsi="MS Sans Serif" w:cs="MS Sans Serif"/>
          <w:sz w:val="16"/>
          <w:szCs w:val="16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20. Уровень фактической обеспеченности учреждени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ями культуры от нормативной потребности: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клубами и учреждениями клубного типа;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>учреждениями клубного типа в 2020 году составил 100%, планируется в 2021 - 2023 годах данный уровень сохранить.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библиотеками;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>библиотеками в 2020 году составил 100%, плани</w:t>
      </w:r>
      <w:r>
        <w:rPr>
          <w:rFonts w:ascii="Times New Roman CYR" w:hAnsi="Times New Roman CYR" w:cs="Times New Roman CYR"/>
          <w:sz w:val="28"/>
          <w:szCs w:val="28"/>
        </w:rPr>
        <w:t xml:space="preserve">руется в 2021 - 2023 годах данный уровень сохранить. 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lastRenderedPageBreak/>
        <w:t>парками культуры и отдыха.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Парков культуры и отдыха на территории Ужурского района нет и их создание не планируется.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21. Доля муниципальных учреждений культуры, здания которых находятся в аварийном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состоянии или требуют капитального ремонта, в общем количестве муниципальных учреждений культуры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>Доля муниципальных учреждений культуры, здания которых находится в аварийном состоянии или требуют капитального ремонта, в общем количестве муниципальных учре</w:t>
      </w:r>
      <w:r>
        <w:rPr>
          <w:rFonts w:ascii="Times New Roman CYR" w:hAnsi="Times New Roman CYR" w:cs="Times New Roman CYR"/>
          <w:sz w:val="28"/>
          <w:szCs w:val="28"/>
        </w:rPr>
        <w:t xml:space="preserve">ждений культуры в 2020 году 1,61 %. На территории Ужурского района находится 62 здания (помещения) муниципальных учреждений культуры, из которых 1 требует капитального ремонта (Крутоярский СДК).  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22. Доля объектов культурного наследия, находящихся в муни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>Доля объектов культурного наследия, находящихся в муниципальной собственности и требующих консерва</w:t>
      </w:r>
      <w:r>
        <w:rPr>
          <w:rFonts w:ascii="Times New Roman CYR" w:hAnsi="Times New Roman CYR" w:cs="Times New Roman CYR"/>
          <w:sz w:val="28"/>
          <w:szCs w:val="28"/>
        </w:rPr>
        <w:t>ции или реставрации, в общем количестве объектов культурного наследия, находящихся в муниципальной собственности составляет  0%, так как 4 объекта культурного наследия («Братская могила 73 участников вооруженного восстания против колчаковского режима, расс</w:t>
      </w:r>
      <w:r>
        <w:rPr>
          <w:rFonts w:ascii="Times New Roman CYR" w:hAnsi="Times New Roman CYR" w:cs="Times New Roman CYR"/>
          <w:sz w:val="28"/>
          <w:szCs w:val="28"/>
        </w:rPr>
        <w:t>трелянных карательным отрядом в начале 1919 года», Могила Кныша Якова Антоновича (1917-1961), полного кавалера ордена Славы», Братская могила 3-х жителей, убитых белобандитами в июне 1919, Монументальная скульптурная композиция «Скорбящая мать»), находящие</w:t>
      </w:r>
      <w:r>
        <w:rPr>
          <w:rFonts w:ascii="Times New Roman CYR" w:hAnsi="Times New Roman CYR" w:cs="Times New Roman CYR"/>
          <w:sz w:val="28"/>
          <w:szCs w:val="28"/>
        </w:rPr>
        <w:t>ся в муниципальной собственности г. Ужура не требуют консервации или реставрации.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V. Физическая культура и спорт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23. Доля населения, систематически занимающегося физической культурой и спортом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Доля населения, систематически занимающегося физической к</w:t>
      </w:r>
      <w:r>
        <w:rPr>
          <w:rFonts w:ascii="Times New Roman CYR" w:hAnsi="Times New Roman CYR" w:cs="Times New Roman CYR"/>
          <w:sz w:val="28"/>
          <w:szCs w:val="28"/>
        </w:rPr>
        <w:t>ультурой и спортом в Ужурском районе, в 2020 году составила 43,4,79 % (увеличение на 10,61% за счет увеличения численности занимающихся по всем учреждениям отрасли физическая культура и спорт и снижения численности населения района из расчета от 3 до 79 ле</w:t>
      </w:r>
      <w:r>
        <w:rPr>
          <w:rFonts w:ascii="Times New Roman CYR" w:hAnsi="Times New Roman CYR" w:cs="Times New Roman CYR"/>
          <w:sz w:val="28"/>
          <w:szCs w:val="28"/>
        </w:rPr>
        <w:t xml:space="preserve">т, значительное увеличение этого показателя за счет увеличения доли обучающихся, систематически занимающегося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физической культурой и спортом.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23.1. Доля обучающихся, систематически занимающихся физической культурой и спортом, в общей численности обучающих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ся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Доля обучающихся, систематически занимающегося физической культурой и спортом в Ужурском районе в 2020 году составила 99,9% (увеличение на 32,73%</w:t>
      </w:r>
      <w:r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за счет значительного увеличения численности занимающихся в общеобразовательных и дошкольных образователь</w:t>
      </w:r>
      <w:r>
        <w:rPr>
          <w:rFonts w:ascii="Times New Roman CYR" w:hAnsi="Times New Roman CYR" w:cs="Times New Roman CYR"/>
          <w:sz w:val="28"/>
          <w:szCs w:val="28"/>
        </w:rPr>
        <w:t xml:space="preserve">ных организациях). К 2021 году планируется не значительное уменьшение на 0,1% за счет уезжающей учиться в город молодежи 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VI. Жилищное строительство и обеспечение граждан жильем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Из 69 объектов капитального строительства, построенных в 2020 году на террит</w:t>
      </w:r>
      <w:r>
        <w:rPr>
          <w:rFonts w:ascii="Times New Roman CYR" w:hAnsi="Times New Roman CYR" w:cs="Times New Roman CYR"/>
          <w:sz w:val="28"/>
          <w:szCs w:val="28"/>
        </w:rPr>
        <w:t xml:space="preserve">ории Ужурского района, объекты гражданского назначения составляют 7,25% - 5 ед. </w:t>
      </w:r>
    </w:p>
    <w:p w:rsidR="00000000" w:rsidRDefault="005E52ED" w:rsidP="0032164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Из объектов гражданского назначения в районе за 2020 год введены в эксплуатацию: 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- 2 торгово-офисных центра в г. Ужур общей площадью 1204,10 кв.м.;</w:t>
      </w:r>
    </w:p>
    <w:p w:rsidR="00000000" w:rsidRDefault="005E52ED" w:rsidP="0032164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- 2 объекта торговли в г</w:t>
      </w:r>
      <w:r>
        <w:rPr>
          <w:rFonts w:ascii="Times New Roman CYR" w:hAnsi="Times New Roman CYR" w:cs="Times New Roman CYR"/>
          <w:sz w:val="28"/>
          <w:szCs w:val="28"/>
        </w:rPr>
        <w:t>. Ужур общей площадью 898,60 кв.м.;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дом рыбака с. Кулун общей площадью 49,80 кв.м.;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Объекты производственного назначения в 2020 году не вводились в эксплуатацию.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Объекты гражданского назначения, возводимые сельхозпроизводителями и организациями-застройщи</w:t>
      </w:r>
      <w:r>
        <w:rPr>
          <w:rFonts w:ascii="Times New Roman CYR" w:hAnsi="Times New Roman CYR" w:cs="Times New Roman CYR"/>
          <w:sz w:val="28"/>
          <w:szCs w:val="28"/>
        </w:rPr>
        <w:t>ками, строятся как подрядным, так хозспособом.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Относительный уровень качества строительства в районе за отчетный период по сравнению с предыдущим не снизился.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перспективу из объектов гражданского и производственного назначения в 2021 году планируется вв</w:t>
      </w:r>
      <w:r>
        <w:rPr>
          <w:rFonts w:ascii="Times New Roman CYR" w:hAnsi="Times New Roman CYR" w:cs="Times New Roman CYR"/>
          <w:sz w:val="28"/>
          <w:szCs w:val="28"/>
        </w:rPr>
        <w:t>ести: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объекты торговли в г. Ужур общей площадью 2321,10 кв.м.;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административное здание в г. Ужур общей площадью 126,40 кв.м.;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объект гаражного назначения в г. Ужур общей площадью 287,80 кв.м.;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спорткомплекс в с. Солгон застройщик АО «Солгон» обще</w:t>
      </w:r>
      <w:r>
        <w:rPr>
          <w:rFonts w:ascii="Times New Roman CYR" w:hAnsi="Times New Roman CYR" w:cs="Times New Roman CYR"/>
          <w:sz w:val="28"/>
          <w:szCs w:val="28"/>
        </w:rPr>
        <w:t>й площадью 3616,80 кв.м.;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спортшкола в г. Ужур общей площадью 744,00 кв.м.;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детский сад на 190 мест в г. Ужур общей площадью 3425,92 кв.м.;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MS Sans Serif" w:hAnsi="MS Sans Serif" w:cs="MS Sans Serif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>- хлебозавод с кондитерским цехом в г. Ужур общей площадью 1023,05 кв.м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2020 году введено в эксплуатацию 64 об</w:t>
      </w:r>
      <w:r>
        <w:rPr>
          <w:rFonts w:ascii="Times New Roman CYR" w:hAnsi="Times New Roman CYR" w:cs="Times New Roman CYR"/>
          <w:sz w:val="28"/>
          <w:szCs w:val="28"/>
        </w:rPr>
        <w:t xml:space="preserve">ъекта жилищного назначения общей площадью 6440,00 кв.м.: 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- 36 объектов индивидуального жилищного строительства, общей площадью 2679,00 кв.м.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- 2-хквартирный жилой дом в д. Изыкчуль застройщик АО «Солгон» общей площадью 190,20 кв.м.;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реконструированный б</w:t>
      </w:r>
      <w:r>
        <w:rPr>
          <w:rFonts w:ascii="Times New Roman CYR" w:hAnsi="Times New Roman CYR" w:cs="Times New Roman CYR"/>
          <w:sz w:val="28"/>
          <w:szCs w:val="28"/>
        </w:rPr>
        <w:t>локированный жилой дом с. Кулун общей площадью 165,60 кв.м. (площадь пристроя 42,40 кв.м.);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 реконструированный многоквартирный жилой дом (I этап) в с. Солгон застройщик АО «Солгон» общей площадью 1873,26 кв.м. (площадь пристроя 476,96 кв.м.);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реконстру</w:t>
      </w:r>
      <w:r>
        <w:rPr>
          <w:rFonts w:ascii="Times New Roman CYR" w:hAnsi="Times New Roman CYR" w:cs="Times New Roman CYR"/>
          <w:sz w:val="28"/>
          <w:szCs w:val="28"/>
        </w:rPr>
        <w:t>ированный многоквартирный жилой дом г. Ужур общей площадью 2046,00 кв.м.;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- 24 помещения в блокированных жилых домах в г. Ужур общей площадью 1005,60 кв.м.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прогнозируемом периоде ввод жилья планируется в следующих объемах:</w:t>
      </w:r>
    </w:p>
    <w:p w:rsidR="00000000" w:rsidRDefault="005E52ED" w:rsidP="0032164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- 2021г. – 9052,48 кв.м. (значи</w:t>
      </w:r>
      <w:r>
        <w:rPr>
          <w:rFonts w:ascii="Times New Roman CYR" w:hAnsi="Times New Roman CYR" w:cs="Times New Roman CYR"/>
          <w:sz w:val="28"/>
          <w:szCs w:val="28"/>
        </w:rPr>
        <w:t>тельное увеличение площади ввода жилья в 2021 году планируется за счет окончания строительства многоквартирного жилого дома площадью 2796,71 кв.м. в рамках региональной адресной программы «Переселение граждан из аварийного жилищного фонда в Красноярском кр</w:t>
      </w:r>
      <w:r>
        <w:rPr>
          <w:rFonts w:ascii="Times New Roman CYR" w:hAnsi="Times New Roman CYR" w:cs="Times New Roman CYR"/>
          <w:sz w:val="28"/>
          <w:szCs w:val="28"/>
        </w:rPr>
        <w:t>ае» на 2019-2025 годы»);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- 2022г. – 7437,42 кв.м.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- 2023г. – 7768,22 кв.м.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Объекты жилищного назначения, возводимые населением, сельхозпроизводителями и организациями-застройщиками, строятся как подрядным, так хозспособом. Главными источниками финансирован</w:t>
      </w:r>
      <w:r>
        <w:rPr>
          <w:rFonts w:ascii="Times New Roman CYR" w:hAnsi="Times New Roman CYR" w:cs="Times New Roman CYR"/>
          <w:sz w:val="28"/>
          <w:szCs w:val="28"/>
        </w:rPr>
        <w:t xml:space="preserve">ия индивидуального жилищного строительства являются собственные средства населения и кредиты банков. 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настоящее время из объектов жилищного назначения за 2021 год введено в эксплуатацию: 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- 16 индивидуальных жилых домов общей площадью 1229,50 кв.м.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sz w:val="28"/>
          <w:szCs w:val="28"/>
        </w:rPr>
        <w:t xml:space="preserve">     На перспективу в 2021 году планируется ввести: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многоквартирный жилой дом в г. Ужур общей площадью 2796,71 кв.м. (в рамках региональной адресной программы «Переселение граждан из аварийного жилищного фонда в Красноярском крае» на 2019-2025 годы»);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многоквартирный жилой дом в с. Кулун застройщик АО «Искра» общей площадью 2255,77 кв.м.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24. Общая площадь жилых помещений, приходящаяся в среднем на одного жителя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Показатель рассчитан исходя из данных, предоставленных в органы государственной статистики</w:t>
      </w:r>
      <w:r>
        <w:rPr>
          <w:rFonts w:ascii="Times New Roman CYR" w:hAnsi="Times New Roman CYR" w:cs="Times New Roman CYR"/>
          <w:sz w:val="28"/>
          <w:szCs w:val="28"/>
        </w:rPr>
        <w:t xml:space="preserve"> края муниципальными образованиями района, и составляет 22,78 кв. м., где: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S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жначел =Sжвсего/Чнасг= </w:t>
      </w:r>
      <w:r>
        <w:rPr>
          <w:rFonts w:ascii="Times New Roman CYR" w:hAnsi="Times New Roman CYR" w:cs="Times New Roman CYR"/>
          <w:sz w:val="28"/>
          <w:szCs w:val="28"/>
        </w:rPr>
        <w:t>690 598,48 кв.м./ 30 316= 22,78 кв.м.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690 598,48 общая площадь всего жилищного фонда на конец года по данным формы № 1-жилфонд (кв. м);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30 316 численность</w:t>
      </w:r>
      <w:r>
        <w:rPr>
          <w:rFonts w:ascii="Times New Roman CYR" w:hAnsi="Times New Roman CYR" w:cs="Times New Roman CYR"/>
          <w:sz w:val="28"/>
          <w:szCs w:val="28"/>
        </w:rPr>
        <w:t xml:space="preserve"> постоянного населения района на конец отчетного года (человек).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прогнозируемом периоде до 2023 года показатель увеличится на 6,50 % и составит 24,26 кв. м. на одного жителя. При сокращении численности населения на 1,9 %, рост показателя обусловлен вво</w:t>
      </w:r>
      <w:r>
        <w:rPr>
          <w:rFonts w:ascii="Times New Roman CYR" w:hAnsi="Times New Roman CYR" w:cs="Times New Roman CYR"/>
          <w:sz w:val="28"/>
          <w:szCs w:val="28"/>
        </w:rPr>
        <w:t>дом в эксплуатацию жилых помещений в среднем объеме 7 126,40 кв. м. в год. Прирост произойдет на счет индивидуального жилищного строительства, а в 2021 году и за счет строительства многоквартирного жилого дома общей площадью 2796 кв.м (в рамках регионально</w:t>
      </w:r>
      <w:r>
        <w:rPr>
          <w:rFonts w:ascii="Times New Roman CYR" w:hAnsi="Times New Roman CYR" w:cs="Times New Roman CYR"/>
          <w:sz w:val="28"/>
          <w:szCs w:val="28"/>
        </w:rPr>
        <w:t xml:space="preserve">й адресной программы «Переселение граждан из аварийного жилищного фонда в Красноярском крае» на 2019-2025 годы»). </w:t>
      </w:r>
    </w:p>
    <w:p w:rsidR="00000000" w:rsidRDefault="005E5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77"/>
        <w:gridCol w:w="1134"/>
        <w:gridCol w:w="1134"/>
        <w:gridCol w:w="1134"/>
        <w:gridCol w:w="1134"/>
        <w:gridCol w:w="1134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40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 показателя и единицы 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Значения показателя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0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2019 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2020 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2021 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2022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2023 прогноз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 Общая площа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дь жилых помещений, кв.м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br/>
            </w:r>
            <w: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(по данным статистического отчета 1-жилфонд строка 01 графа 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684 158,48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690 598,48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699 650,96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707 088,38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714 856,60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2. Введено жилых помещений за отчетный период, кв.м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4 935,00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6 440,00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9 052,48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7 437,42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7 768,22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3. Выбыло жил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ых помещений за отчетный период, кв.м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4. Численность постоянного населения муниципального, городского округа (муниципального района)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конец отчетного года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30 578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30 316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30 106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29 913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29 740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5. Общая площадь жилых помещени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й, приходящаяся в среднем на одного жителя (стр. 1/ стр.4)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22,37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24,04</w:t>
            </w:r>
          </w:p>
        </w:tc>
      </w:tr>
    </w:tbl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24.1. в том числе введенная в действие за один год</w:t>
      </w:r>
    </w:p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S</w:t>
      </w:r>
      <w:r>
        <w:rPr>
          <w:rFonts w:ascii="Times New Roman CYR" w:hAnsi="Times New Roman CYR" w:cs="Times New Roman CYR"/>
          <w:i/>
          <w:iCs/>
          <w:sz w:val="20"/>
          <w:szCs w:val="20"/>
        </w:rPr>
        <w:t>ввод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=S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н+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S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з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/Ч</w:t>
      </w:r>
      <w:r>
        <w:rPr>
          <w:rFonts w:ascii="Times New Roman CYR" w:hAnsi="Times New Roman CYR" w:cs="Times New Roman CYR"/>
          <w:i/>
          <w:iCs/>
          <w:sz w:val="24"/>
          <w:szCs w:val="24"/>
        </w:rPr>
        <w:t>нас</w:t>
      </w:r>
      <w:r>
        <w:rPr>
          <w:rFonts w:ascii="Times New Roman CYR" w:hAnsi="Times New Roman CYR" w:cs="Times New Roman CYR"/>
          <w:i/>
          <w:iCs/>
          <w:sz w:val="16"/>
          <w:szCs w:val="16"/>
        </w:rPr>
        <w:t>срг</w:t>
      </w:r>
    </w:p>
    <w:p w:rsidR="00000000" w:rsidRDefault="005E5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i/>
          <w:iCs/>
          <w:sz w:val="16"/>
          <w:szCs w:val="16"/>
        </w:rPr>
      </w:pPr>
    </w:p>
    <w:p w:rsidR="00000000" w:rsidRDefault="005E5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S</w:t>
      </w:r>
      <w:r>
        <w:rPr>
          <w:rFonts w:ascii="Times New Roman CYR" w:hAnsi="Times New Roman CYR" w:cs="Times New Roman CYR"/>
          <w:sz w:val="24"/>
          <w:szCs w:val="24"/>
        </w:rPr>
        <w:t xml:space="preserve">ввод= </w:t>
      </w:r>
      <w:r>
        <w:rPr>
          <w:rFonts w:ascii="Times New Roman CYR" w:hAnsi="Times New Roman CYR" w:cs="Times New Roman CYR"/>
          <w:sz w:val="28"/>
          <w:szCs w:val="28"/>
        </w:rPr>
        <w:t>2679,00+3761,16 / 30 447 = 0,21</w:t>
      </w:r>
    </w:p>
    <w:p w:rsidR="00000000" w:rsidRDefault="005E5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999"/>
        <w:gridCol w:w="1134"/>
        <w:gridCol w:w="1134"/>
        <w:gridCol w:w="1134"/>
        <w:gridCol w:w="1134"/>
        <w:gridCol w:w="1134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Наименование показателя и единицы измерения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Значения показателя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2019 факт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2020 факт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2021 оценка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2022 прогноз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2023 прогноз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 Введено всего, кв.м, в том числе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4 935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6 440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9 052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7 437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7 768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1.1. индивидуальное жилищное строительство, кв.м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4 935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2 679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7 437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7 768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1.2. многоквартирное стр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оительство, кв.м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3 761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5 052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2.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Среднегодовая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численность постоянного населения муниципального, городского округа (муниципального района), 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30 851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30 447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30 211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30 010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29 827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3. Общая площадь жилых помещений, введенная в действие за один год, п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риходящаяся в среднем на одного жителя (стр. 1/ стр.2)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0,16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0,21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0,30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0,25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0,26</w:t>
            </w:r>
          </w:p>
        </w:tc>
      </w:tr>
    </w:tbl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25. Площадь земельных участков, предоставленных для строительства, в расчете на 10 тыс. человек населения, 25.1. в том числе земельных участков, предоставленных для жилищно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го строительства, индивидуального строительства и комплексного освоения в целях жилищного строительства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F243E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Площадь земельных участков, предоставленных для строительства на 10 тыс. человек населения составила 3,78 га</w:t>
      </w:r>
      <w:r>
        <w:rPr>
          <w:rFonts w:ascii="Times New Roman CYR" w:hAnsi="Times New Roman CYR" w:cs="Times New Roman CYR"/>
          <w:color w:val="0F243E"/>
          <w:sz w:val="28"/>
          <w:szCs w:val="28"/>
        </w:rPr>
        <w:t>.</w:t>
      </w:r>
    </w:p>
    <w:p w:rsidR="00000000" w:rsidRDefault="005E52ED" w:rsidP="0032164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Поб = (Пж + Пк+Пн) / </w:t>
      </w:r>
      <w:r>
        <w:rPr>
          <w:rFonts w:ascii="Times New Roman CYR" w:hAnsi="Times New Roman CYR" w:cs="Times New Roman CYR"/>
          <w:i/>
          <w:iCs/>
          <w:sz w:val="28"/>
          <w:szCs w:val="28"/>
          <w:u w:color="FF0000"/>
        </w:rPr>
        <w:t>Ч</w:t>
      </w:r>
      <w:r>
        <w:rPr>
          <w:rFonts w:ascii="Times New Roman CYR" w:hAnsi="Times New Roman CYR" w:cs="Times New Roman CYR"/>
          <w:i/>
          <w:iCs/>
          <w:sz w:val="32"/>
          <w:szCs w:val="32"/>
          <w:u w:color="FF0000"/>
          <w:vertAlign w:val="subscript"/>
        </w:rPr>
        <w:t>сг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*10000 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2020   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Поб= (8,66+0+2,85)/30447 *10000= 3,78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2021     Поб= (8,66+0+2,85)/30211 *10000= 3,81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2022     Поб= (8,66+0+2,85)/30010 *10000= 3,84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2023     Поб= (8,66+0+2,85)/29827 *10000= 3,86</w:t>
      </w:r>
    </w:p>
    <w:p w:rsidR="00000000" w:rsidRDefault="005E52ED" w:rsidP="0032164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где:</w:t>
      </w:r>
    </w:p>
    <w:p w:rsidR="00000000" w:rsidRDefault="005E52ED" w:rsidP="0032164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i/>
          <w:iCs/>
          <w:sz w:val="28"/>
          <w:szCs w:val="28"/>
          <w:u w:color="FF0000"/>
        </w:rPr>
        <w:t>Пoб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– площадь земельных участков, предоставленных для строительства</w:t>
      </w:r>
      <w:r>
        <w:rPr>
          <w:rFonts w:ascii="Times New Roman CYR" w:hAnsi="Times New Roman CYR" w:cs="Times New Roman CYR"/>
          <w:sz w:val="28"/>
          <w:szCs w:val="28"/>
          <w:u w:color="FF0000"/>
        </w:rPr>
        <w:br/>
        <w:t>в р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асчете на 10 тыс. человек населения - всего; </w:t>
      </w:r>
    </w:p>
    <w:p w:rsidR="00000000" w:rsidRDefault="005E52ED" w:rsidP="0032164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i/>
          <w:iCs/>
          <w:sz w:val="28"/>
          <w:szCs w:val="28"/>
          <w:u w:color="FF0000"/>
        </w:rPr>
        <w:t>Пж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– площадь земельных участков, предоставленных для жилищного строительства (в том числе индивидуального жилищного строительства);</w:t>
      </w:r>
    </w:p>
    <w:p w:rsidR="00000000" w:rsidRDefault="005E52ED" w:rsidP="0032164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i/>
          <w:iCs/>
          <w:sz w:val="28"/>
          <w:szCs w:val="28"/>
          <w:u w:color="FF0000"/>
        </w:rPr>
        <w:t xml:space="preserve">Пк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– площадь земельных участков, предоставленных для комплексного освоения в ц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елях жилищного строительства;</w:t>
      </w:r>
    </w:p>
    <w:p w:rsidR="00000000" w:rsidRDefault="005E52ED" w:rsidP="0032164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i/>
          <w:iCs/>
          <w:sz w:val="28"/>
          <w:szCs w:val="28"/>
          <w:u w:color="FF0000"/>
        </w:rPr>
        <w:t xml:space="preserve">Пн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– площадь земельных участков, предоставленных для строительства объектов, не являющихся объектами жилищного строительства;</w:t>
      </w:r>
    </w:p>
    <w:p w:rsidR="00000000" w:rsidRDefault="005E52ED" w:rsidP="0032164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i/>
          <w:iCs/>
          <w:sz w:val="28"/>
          <w:szCs w:val="28"/>
          <w:u w:color="FF0000"/>
        </w:rPr>
        <w:t>Ч</w:t>
      </w:r>
      <w:r>
        <w:rPr>
          <w:rFonts w:ascii="Times New Roman CYR" w:hAnsi="Times New Roman CYR" w:cs="Times New Roman CYR"/>
          <w:i/>
          <w:iCs/>
          <w:sz w:val="32"/>
          <w:szCs w:val="32"/>
          <w:u w:color="FF0000"/>
          <w:vertAlign w:val="subscript"/>
        </w:rPr>
        <w:t>сг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– среднегодовая численность постоянного населения городского округа (муниципального района) (чел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овек).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color w:val="0F243E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2020 году</w:t>
      </w:r>
      <w:r>
        <w:rPr>
          <w:rFonts w:ascii="Times New Roman CYR" w:hAnsi="Times New Roman CYR" w:cs="Times New Roman CYR"/>
          <w:color w:val="0F243E"/>
          <w:sz w:val="28"/>
          <w:szCs w:val="28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выделены земельные участки для объектов жилищного строительства площадью 8,66 га.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По предварительному прогнозу 2021-2023 гг. для жилищного строительства планируется предоставление земельных участков в равном объеме - 8,66 га, учитывая сн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ижение численности населения, согласно документам территориального планирования и градостроительного зонирования г.Ужура и сельских поселений района.</w:t>
      </w:r>
      <w:r>
        <w:rPr>
          <w:rFonts w:ascii="Times New Roman CYR" w:hAnsi="Times New Roman CYR" w:cs="Times New Roman CYR"/>
          <w:color w:val="0F243E"/>
          <w:sz w:val="28"/>
          <w:szCs w:val="28"/>
          <w:u w:color="FF0000"/>
        </w:rPr>
        <w:t xml:space="preserve"> </w:t>
      </w:r>
    </w:p>
    <w:p w:rsidR="00000000" w:rsidRDefault="005E52ED" w:rsidP="003216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2020 году выросла площадь земельных участков, предоставленных для строительства объектов, не являющихся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объектами жилищного строительства  на 2,64 га, наиболее крупный земельный участок площадью 21088 кв.м. предоставлен для размещения объектов ведения личного подсобного хозяйства (склады).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77"/>
        <w:gridCol w:w="1276"/>
        <w:gridCol w:w="1276"/>
        <w:gridCol w:w="992"/>
        <w:gridCol w:w="992"/>
        <w:gridCol w:w="99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60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u w:color="FF0000"/>
              </w:rPr>
              <w:t>Площадь предоставленных земельных участков</w:t>
            </w:r>
            <w:r>
              <w:rPr>
                <w:rFonts w:ascii="Times New Roman CYR" w:hAnsi="Times New Roman CYR" w:cs="Times New Roman CYR"/>
                <w:u w:color="FF0000"/>
              </w:rPr>
              <w:t>, Га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предыдущий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о</w:t>
            </w:r>
            <w:r>
              <w:rPr>
                <w:rFonts w:ascii="Times New Roman CYR" w:hAnsi="Times New Roman CYR" w:cs="Times New Roman CYR"/>
                <w:u w:color="FF0000"/>
              </w:rPr>
              <w:t>тчетный период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прогноз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2023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Площадь земельных участков, предоставленных для строительства, всего:</w:t>
            </w:r>
          </w:p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 xml:space="preserve">     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9,37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11,51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11,51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11,51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11,51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1.1. для жилищного строительства (в т.ч. для   ИЖС)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9,16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8,66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8,66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8,66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8,66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 xml:space="preserve">1.2. для </w:t>
            </w:r>
            <w:r>
              <w:rPr>
                <w:rFonts w:ascii="Times New Roman CYR" w:hAnsi="Times New Roman CYR" w:cs="Times New Roman CYR"/>
                <w:u w:color="FF0000"/>
              </w:rPr>
              <w:t>комплексного освоения в целях жилищного 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1.3. для строительства объектов, не являющихся объектами жилищного 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2,85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2. Среднегодовая численность постоянного населения городского округа (муниципального</w:t>
            </w:r>
            <w:r>
              <w:rPr>
                <w:rFonts w:ascii="Times New Roman CYR" w:hAnsi="Times New Roman CYR" w:cs="Times New Roman CYR"/>
                <w:u w:color="FF0000"/>
              </w:rPr>
              <w:t xml:space="preserve"> района), чел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30851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30447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30211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30010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29827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3. Площадь земельных участков, предоставленных для строительства, в расчете на 10 тыс. человек населения – всего (стр.1/стр.2*10000)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3,04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3,78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3,81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3,84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3,86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4. Площадь земельных участков, предоставленных для ж</w:t>
            </w:r>
            <w:r>
              <w:rPr>
                <w:rFonts w:ascii="Times New Roman CYR" w:hAnsi="Times New Roman CYR" w:cs="Times New Roman CYR"/>
                <w:u w:color="FF0000"/>
              </w:rPr>
              <w:t>илищного строительства, индивидуального строительства и комплексного освоения в целях жилищного строительства, в расчете на 10 тыс. человек населения (стр.1.1+стр.1.2/стр.2*10000)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2,90</w:t>
            </w:r>
          </w:p>
        </w:tc>
      </w:tr>
    </w:tbl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26. Площадь земельных участков, предоставленных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для строительства, в отношении которых с даты принятия решения о предоставлении земельного участка или подписания протокола о результатах торгов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lastRenderedPageBreak/>
        <w:t>(конкурсов, аукционов) не было получено разрешение на ввод в эксплуатацию: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26.1. объектов жилищного строител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ьства - в течение 3 лет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Объектов жилищного строительства - в течение 3 лет </w:t>
      </w:r>
      <w:r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  <w:t>(=0)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26.2. иных объектов капитального строительства - в течение 5 лет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26.2 иных объектов капитального строительства - в течение 5 лет. </w:t>
      </w:r>
      <w:r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  <w:t>(=0)</w:t>
      </w:r>
    </w:p>
    <w:p w:rsidR="00000000" w:rsidRDefault="005E52ED" w:rsidP="0032164C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val="single" w:color="FF0000"/>
        </w:rPr>
        <w:t>Единица измерения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– кв. метров.</w:t>
      </w:r>
    </w:p>
    <w:p w:rsidR="00000000" w:rsidRDefault="005E52ED" w:rsidP="0032164C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val="single" w:color="FF0000"/>
        </w:rPr>
        <w:t>Источн</w:t>
      </w:r>
      <w:r>
        <w:rPr>
          <w:rFonts w:ascii="Times New Roman CYR" w:hAnsi="Times New Roman CYR" w:cs="Times New Roman CYR"/>
          <w:sz w:val="28"/>
          <w:szCs w:val="28"/>
          <w:u w:val="single" w:color="FF0000"/>
        </w:rPr>
        <w:t>ик информации: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органы местного самоуправления.</w:t>
      </w:r>
    </w:p>
    <w:p w:rsidR="00000000" w:rsidRDefault="005E52ED" w:rsidP="0032164C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Показатель учитывается в приложении к форме федерального статистического наблюдения № 1-МО.</w:t>
      </w:r>
    </w:p>
    <w:p w:rsidR="00000000" w:rsidRDefault="005E52ED" w:rsidP="0032164C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tbl>
      <w:tblPr>
        <w:tblW w:w="0" w:type="auto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86"/>
        <w:gridCol w:w="1020"/>
        <w:gridCol w:w="1107"/>
        <w:gridCol w:w="3543"/>
        <w:gridCol w:w="1276"/>
        <w:gridCol w:w="155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0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26.2. Площадь земельных участков, предоставленных для иных объектов капитального строительства, в отношении которых </w:t>
            </w: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5 лет, кв.м.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№ п/п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Наименование и строительный адрес объекта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Площ</w:t>
            </w: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адь земельных участков, кв.м.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Дата принятия решения о предоставлении земельного участка или подписания протокола о результатах торгов (конкурсов, аукционов) с указанием вида использования (собственность, аренда)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Дата выдачи разрешения на строительство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Срок</w:t>
            </w: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 действия разрешения на строительство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г. Ужур, ул. Победа Социализма, 119 в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1950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07.07.2016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 w:rsidP="003216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-</w:t>
            </w:r>
          </w:p>
        </w:tc>
      </w:tr>
    </w:tbl>
    <w:p w:rsidR="00000000" w:rsidRDefault="005E52ED" w:rsidP="0032164C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Земельный участок общей площадью 1950 кв.м. был предоставлен в 2016 году под зарегистрированным объектом капитального строительства.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lastRenderedPageBreak/>
        <w:t>VII. Жилищно-коммуна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льное хозяйство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27.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ния данными домами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902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Ужурском районе количество многоквартирных домов, собственники помещений в которых выбрали и реализуют один из способов управления, 159 домов.</w:t>
      </w:r>
    </w:p>
    <w:p w:rsidR="00000000" w:rsidRDefault="005E52ED" w:rsidP="0032164C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902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Общее количество многоквартирных домов по району, собственники помещений в которых должны в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ыбрать способ управления данными домами, 159 домов.</w:t>
      </w:r>
    </w:p>
    <w:p w:rsidR="00000000" w:rsidRDefault="005E52ED" w:rsidP="0032164C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902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D=159/159*100%=100%</w:t>
      </w:r>
    </w:p>
    <w:p w:rsidR="00000000" w:rsidRDefault="005E52ED" w:rsidP="0032164C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902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ственники помещений должны выбрать способ управления данными домами составляет 100 %.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28. 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муниципального, городского округов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муниципального, городского округов (муниципального района)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На территори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и Ужурского района в 2020 году, 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использующих объекты коммунальной инфраструктуры на праве частной собственности, по договору аренды или концессии, участие района в уставном капитале которых составляет не более 25 процентов, в общем числе организаций коммунального комплекса, осуществляющи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х свою деятельность на территории Ужурского района: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8/9*100=88,89 %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29. Доля многоквартирных домов, расположенных на земельных участках, в отношении которых осуществлен государственный кадастровый учет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139/160*100%=86,88 %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Произошло изменение  общего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количества многоквартирных домов, по причине:   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введен в эксплуатацию в 2020г. один многоквартирный дом (г.Ужур, ул. 40 лет Октября д.1.);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-6 многоквартирных домов  (наличие в многоквартирном доме менее чем 5 квартир),  исключены: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г.Ужур., ул. Вокзальн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ая,  д.16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г.Ужур., ул. Кирова,   д.17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г.Ужур., ул. Кирова,   д.19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г.Ужур., ул. Рабочая,  д.67 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г.Ужур., ул. Советская,  д.26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г.Ужур., ул. Советская,  д.28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000000" w:rsidRDefault="005E52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093"/>
        <w:gridCol w:w="1984"/>
        <w:gridCol w:w="1418"/>
        <w:gridCol w:w="1417"/>
        <w:gridCol w:w="1418"/>
        <w:gridCol w:w="1241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09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Наименование показателя и единицы измерения</w:t>
            </w:r>
          </w:p>
        </w:tc>
        <w:tc>
          <w:tcPr>
            <w:tcW w:w="74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Значения показателя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0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2019 факт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2020 факт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2021 оценка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2022 прогноз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459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2023 прогноз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1. Число многоквартирных домов, расположенных на земельных участках, в отношении которых осуществлен государственный кадастровый учет,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139 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139 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139 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139 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139 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2. Общее число многоквартирных домов по состоянию на конец отчет</w:t>
            </w: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 xml:space="preserve">ного периода, единиц </w:t>
            </w: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br/>
              <w:t>(по данным статистического отчета 1-жилфонд строка 01 графа 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165 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160 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160 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160 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160 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272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lastRenderedPageBreak/>
              <w:t>3. Доля многоквартирных домов, расположенных на земельных участках, в отношении которых осуществлен государственный кадастровый учет, % (стр. 1/с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тр.2*100)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84,24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86,88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86,88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708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86,88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20"/>
              <w:ind w:firstLine="459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86,88</w:t>
            </w:r>
          </w:p>
        </w:tc>
      </w:tr>
    </w:tbl>
    <w:p w:rsidR="00000000" w:rsidRDefault="005E52ED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30.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u w:val="single" w:color="FF0000"/>
        </w:rPr>
      </w:pPr>
      <w:r>
        <w:rPr>
          <w:rFonts w:ascii="Times New Roman CYR" w:hAnsi="Times New Roman CYR" w:cs="Times New Roman CYR"/>
          <w:sz w:val="28"/>
          <w:szCs w:val="28"/>
          <w:u w:val="single" w:color="FF0000"/>
        </w:rPr>
        <w:t>Рассчитывается по фор</w:t>
      </w:r>
      <w:r>
        <w:rPr>
          <w:rFonts w:ascii="Times New Roman CYR" w:hAnsi="Times New Roman CYR" w:cs="Times New Roman CYR"/>
          <w:sz w:val="28"/>
          <w:szCs w:val="28"/>
          <w:u w:val="single" w:color="FF0000"/>
        </w:rPr>
        <w:t>муле:</w:t>
      </w:r>
    </w:p>
    <w:p w:rsidR="00000000" w:rsidRDefault="00A65235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</w:pPr>
      <w:r>
        <w:rPr>
          <w:rFonts w:ascii="Times New Roman CYR" w:hAnsi="Times New Roman CYR" w:cs="Times New Roman CYR"/>
          <w:position w:val="-24"/>
          <w:sz w:val="28"/>
          <w:szCs w:val="28"/>
          <w:u w:color="FF0000"/>
        </w:rPr>
        <w:object w:dxaOrig="1881" w:dyaOrig="6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1pt;height:31.7pt" o:ole="">
            <v:imagedata r:id="rId6" o:title=""/>
          </v:shape>
          <o:OLEObject Type="Embed" ProgID="Equation.3" ShapeID="_x0000_i1025" DrawAspect="Content" ObjectID="_1681202122" r:id="rId7"/>
        </w:object>
      </w:r>
      <w:r w:rsidR="005E52ED"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3"/>
        <w:gridCol w:w="4958"/>
        <w:gridCol w:w="1276"/>
        <w:gridCol w:w="1135"/>
        <w:gridCol w:w="709"/>
        <w:gridCol w:w="710"/>
        <w:gridCol w:w="71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предыдущий период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отчетный период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прогноз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2019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2021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2022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2023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Доля населения, получившего жилые помещения и улучшившего жилищные условия в отчетном году, в общей численн</w:t>
            </w: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ости населения, состоящего на учете в качестве нуждающегося в жилых помещениях 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4,49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3,25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1,34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1,36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1,38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численность населения (семей), получившего жилые помещения и улучшившего жилищные условия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color="FF0000"/>
              </w:rPr>
              <w:t>по договору социального найма</w:t>
            </w: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 в отчетном году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color="FF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4</w:t>
            </w:r>
          </w:p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численность населения (семей), состоящего на учете в качестве нуждающегося в жилых помещениях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color="FF0000"/>
              </w:rPr>
              <w:t>по договорам социального найма</w:t>
            </w: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color="FF0000"/>
              </w:rPr>
              <w:t>на конец прошлого года</w:t>
            </w: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 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89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147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145</w:t>
            </w:r>
          </w:p>
        </w:tc>
      </w:tr>
    </w:tbl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color w:val="FFFFFF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На территории г. Ужура в 2020 году численность населения, состоящих на учете уве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личилась на 65 человек, так как поставили на учет семьи, которые необходимо переселить из аварийного жилого фонда. Жилье в 2020 году по статистическим данным получили 5 семей. </w:t>
      </w:r>
    </w:p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Снижение показателя планируется  в связи с отсутствием в собственности муниципа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льных образований свободного муниципального жилищного фонда.</w:t>
      </w:r>
    </w:p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 xml:space="preserve">В 2021-2023 гг. планируется улучшить жилищные условия по договорам социального найма 2 семьи ежегодно. </w:t>
      </w:r>
    </w:p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VIII. Организация муниципального управления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31. Доля налоговых и неналоговых доходов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FD55E9" w:rsidP="0032164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ab/>
      </w:r>
      <w:r w:rsidR="005E52ED">
        <w:rPr>
          <w:rFonts w:ascii="Times New Roman CYR" w:hAnsi="Times New Roman CYR" w:cs="Times New Roman CYR"/>
          <w:sz w:val="28"/>
          <w:szCs w:val="28"/>
          <w:u w:color="FF0000"/>
        </w:rPr>
        <w:t xml:space="preserve">В 2020 году доля налоговых и неналоговых доходов </w:t>
      </w:r>
      <w:r w:rsidR="005E52ED">
        <w:rPr>
          <w:rFonts w:ascii="Times New Roman CYR" w:hAnsi="Times New Roman CYR" w:cs="Times New Roman CYR"/>
          <w:sz w:val="28"/>
          <w:szCs w:val="28"/>
          <w:u w:color="FF0000"/>
        </w:rPr>
        <w:t xml:space="preserve">консолидированного бюджета в общем объеме собственных доходов Ужурского района составила 27,70% (общий объем собственных доходов в 2020 году составил 987,4 млн. рублей, в том числе налоговые, неналоговые доходы  273,5 млн. рублей).  </w:t>
      </w:r>
    </w:p>
    <w:p w:rsidR="00000000" w:rsidRDefault="005E52ED" w:rsidP="0032164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  </w:t>
      </w:r>
      <w:r w:rsidR="00FD55E9">
        <w:rPr>
          <w:rFonts w:ascii="Times New Roman CYR" w:hAnsi="Times New Roman CYR" w:cs="Times New Roman CYR"/>
          <w:sz w:val="28"/>
          <w:szCs w:val="28"/>
          <w:u w:color="FF0000"/>
        </w:rPr>
        <w:tab/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По сравнению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с 2019 годом доля налоговых и неналоговых доходов консолидированного бюджета в общем объеме собственных доходов уменьшилась на 5,52% в связи с тяжелой эпидемиологической обстановкой вызванной коронавирусной инфекцией (COVID-19), которая привела к отмене пл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атежа единого налога на вмененный доход для отдельных видов деятельности за второй квартал 2020 года, в результате чего возросла задолженность по налогу, данный налог с 01.01.2021 года отменен. 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С 01.01.2020 года суммы штрафов, установленных </w:t>
      </w:r>
      <w:hyperlink r:id="rId8" w:history="1">
        <w:r>
          <w:rPr>
            <w:rFonts w:ascii="Times New Roman CYR" w:hAnsi="Times New Roman CYR" w:cs="Times New Roman CYR"/>
            <w:color w:val="0000FF"/>
            <w:sz w:val="28"/>
            <w:szCs w:val="28"/>
            <w:u w:val="single" w:color="FF0000"/>
          </w:rPr>
          <w:t>Кодексом</w:t>
        </w:r>
      </w:hyperlink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Российской Федерации об административных правонарушениях, в случае, если постановления о наложении административн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ых штрафов вынесены мировыми судьями, комиссиями по делам несовершеннолетних и защите их прав, подлежат зачислению (если иное не установлено </w:t>
      </w:r>
      <w:hyperlink r:id="rId9" w:history="1">
        <w:r>
          <w:rPr>
            <w:rFonts w:ascii="Times New Roman CYR" w:hAnsi="Times New Roman CYR" w:cs="Times New Roman CYR"/>
            <w:color w:val="0000FF"/>
            <w:sz w:val="28"/>
            <w:szCs w:val="28"/>
            <w:u w:val="single" w:color="FF0000"/>
          </w:rPr>
          <w:t>пунктами 3</w:t>
        </w:r>
      </w:hyperlink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и </w:t>
      </w:r>
      <w:hyperlink r:id="rId10" w:history="1">
        <w:r>
          <w:rPr>
            <w:rFonts w:ascii="Times New Roman CYR" w:hAnsi="Times New Roman CYR" w:cs="Times New Roman CYR"/>
            <w:color w:val="0000FF"/>
            <w:sz w:val="28"/>
            <w:szCs w:val="28"/>
            <w:u w:val="single" w:color="FF0000"/>
          </w:rPr>
          <w:t>5</w:t>
        </w:r>
      </w:hyperlink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статьи 46 Бюджетного кодекса Российской Фе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дерации) в бюджет муниципального района, (по месту нахождения органа или должностного лица, принявших решение о наложении административного штрафа) по нормативу 50 процентов.</w:t>
      </w:r>
      <w:r w:rsidR="00FD55E9">
        <w:rPr>
          <w:rFonts w:ascii="Times New Roman CYR" w:hAnsi="Times New Roman CYR" w:cs="Times New Roman CYR"/>
          <w:sz w:val="28"/>
          <w:szCs w:val="28"/>
          <w:u w:color="FF0000"/>
        </w:rPr>
        <w:tab/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На 2021 год прогнозируется рост доли налоговых и неналоговых доходов кон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солидированного бюджета в общем объеме собственных доходов на 0,58% и составит 28,28% (общий объем собственных доходов консолидированного бюджета района  967,0 млн. рублей, в том числе налоговые и неналоговые доходы 273,5 млн. рублей) в связи с уменьшением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межбюджетных трансфертов из краевого бюджета по сравнению с 2020 годом на 20,4 млн.  рублей.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Прогноз доли налоговых и неналоговых доходов консолидированного бюджета в общем объеме собственных доходов консолидированного бюджета (без учета субвенци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й) в 2022 году 35,65 %, в 2023 году  36,31 %.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32.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lastRenderedPageBreak/>
        <w:t>полной учетной стоим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ости)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16"/>
          <w:szCs w:val="16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По состоянию на 31.12.2020 г. на территории района отсутствуют организации муниципальной формы собственности, находящиеся в стадии банкротства.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33. Объем не завершенного в установленные сроки строительства, осуществляемого за счет средств бюджета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муниципального, городского округов (муниципального района)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ab/>
        <w:t>На территории Ужурского района отсутствуют объекты незавершенного строительства: строительство которых продолжается; строительство которых приостановлено, законсервировано или окончательно прекра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щено, но не списано в установленном порядке; а также не включаемые в бухгалтерском отчете в состав основных средств объекты, принятые в эксплуатацию на основании разрешений на ввод объектов в эксплуатацию, на которые отсутствуют необходимые документы, подт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верждающие государственную регистрацию объектов недвижимости в установленных законодательством случаях.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34. Доля просроченной кредиторской задолженности по оплате труда (включая начисления на оплату труда) муниципальных учреждений в общем объеме расходов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 муниципального образования на оплату труда (включая начисления на оплату труда)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ab/>
        <w:t>Просроченная кредиторская задолженность по оплате труда работников муниципальных учреждений (включая начисления на оплату труда) отсутствует.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35. Расходы бюджета муниципал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FD55E9" w:rsidP="0032164C">
      <w:pPr>
        <w:tabs>
          <w:tab w:val="left" w:pos="567"/>
          <w:tab w:val="left" w:pos="709"/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0"/>
          <w:szCs w:val="20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ab/>
      </w:r>
      <w:r w:rsidR="005E52ED">
        <w:rPr>
          <w:rFonts w:ascii="Times New Roman CYR" w:hAnsi="Times New Roman CYR" w:cs="Times New Roman CYR"/>
          <w:sz w:val="28"/>
          <w:szCs w:val="28"/>
          <w:u w:color="FF0000"/>
        </w:rPr>
        <w:t>В 2020 году расходы бюджета на содержание работников органов местного самоуправления (далее – ОМС) составили 106811,2 тыс. ру</w:t>
      </w:r>
      <w:r w:rsidR="005E52ED">
        <w:rPr>
          <w:rFonts w:ascii="Times New Roman CYR" w:hAnsi="Times New Roman CYR" w:cs="Times New Roman CYR"/>
          <w:sz w:val="28"/>
          <w:szCs w:val="28"/>
          <w:u w:color="FF0000"/>
        </w:rPr>
        <w:t>блей, в расчете на одного жителя муниципального образования 3508,10 рублей.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2021 году оценка расходов на содержание ОМС составляет 121719,6 тыс. рублей, в расчете на одного жителя муниципального образования 4028,98 рублей. Увеличение расходов прои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зошло в связи с повышением оплаты труда выборных должностных лиц, лиц, замещающих иные муниципальные должности, и муниципальных служащих, обслуживающего персонала органов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местного самоуправления и отдельным категориям работников муниципальных учреждений.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Прогноз расходов в 2022-2023 годах на содержание ОМС составит 127683,83 тыс. рублей. Ежегодно. В расчете на одного жителя муниципального образования в 2022 году 4254,71 рублей, в 2023 году 4280,81 рублей. 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Увеличение расходов на содержание О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МС на одного жителя происходит в связи с прогнозируемым уменьшением численности населения.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Для расчета данного показателя учтены средства фонда оплаты труда муниципальных служащих и взносы по обязательному социальному страхованию на выплаты денежно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го содержания и иные выплаты работникам ОМС Ужурского района.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36. Наличие в муниципальном, городском округе (муниципальном районе) утвержденного генерального плана муниципального, городского округов (схемы территориального планирования муниципального райо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на)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Решением Ужурского районного Совета депутатов от 11.09.2015 № 59-391р «Об утверждении схемы территориального планирования Ужурского района» на территории Ужурского района утверждена схема территориального планирования.</w:t>
      </w:r>
    </w:p>
    <w:p w:rsidR="00000000" w:rsidRDefault="005E52ED" w:rsidP="0032164C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000000" w:rsidRDefault="005E52ED" w:rsidP="0032164C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Решением Ужурского городского С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овета депутатов Красноярского края от 16.07.2012 № 33-23р «Об утверждении генерального плана города Ужура», утвержден генеральный план города Ужур.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FD55E9" w:rsidRDefault="00FD55E9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37. Удовлетворенность населения деятельностью местного самоуправления муниципального, городского округов (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муниципального района)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38. Среднегодовая численность постоянного населения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Динамика численности постоянного населения такова, что наблюдается ежегодное сокращение общего числа населения. Это вызвано, в первую очередь, миграционными процессами (оттоком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молодого трудоспособного населения).  Уменьшение численности населения за счет миграции в 2019 году составило «-394 чел.», в 2020 году - «-117 чел.», по оценке в 2021 году составит  «-110 чел.».  Сокращение численности населения происходит также за счет ес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тественной убыли (превышение смертности над рождаемостью. Уменьшение численности населения за счет естественной убыли </w:t>
      </w:r>
      <w:r w:rsidRPr="00FD55E9">
        <w:rPr>
          <w:rFonts w:ascii="Times New Roman" w:hAnsi="Times New Roman" w:cs="Times New Roman"/>
          <w:sz w:val="28"/>
          <w:szCs w:val="28"/>
          <w:u w:color="FF0000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в 2019 году составило «-152 чел.», в 2020 году - «-145 чел.», по оценке 2021 году составит «-100 чел.».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2019 году чсленность населения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района сократилась на 546 человек, в 2020 году - на 262 человека и на 01.01.2021 года составила 30316 человек. По прогнозу численность населения к 2025 году составит 29577 человек. </w:t>
      </w:r>
    </w:p>
    <w:p w:rsidR="00000000" w:rsidRDefault="005E52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  <w:r>
        <w:rPr>
          <w:rFonts w:ascii="Times New Roman CYR" w:hAnsi="Times New Roman CYR" w:cs="Times New Roman CYR"/>
          <w:sz w:val="24"/>
          <w:szCs w:val="24"/>
          <w:u w:color="FF0000"/>
        </w:rPr>
        <w:lastRenderedPageBreak/>
        <w:t xml:space="preserve">  </w:t>
      </w:r>
    </w:p>
    <w:tbl>
      <w:tblPr>
        <w:tblW w:w="0" w:type="auto"/>
        <w:tblInd w:w="-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878"/>
        <w:gridCol w:w="1916"/>
        <w:gridCol w:w="850"/>
        <w:gridCol w:w="851"/>
        <w:gridCol w:w="992"/>
        <w:gridCol w:w="992"/>
        <w:gridCol w:w="993"/>
        <w:gridCol w:w="992"/>
        <w:gridCol w:w="85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931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Среднегодовая численность постоянного населения по  УЖУРСКОМУ  району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№ п/п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Значения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2019 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2020 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2021 оценка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2022 прогноз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2023 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2024</w:t>
            </w:r>
          </w:p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2025</w:t>
            </w:r>
          </w:p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прогноз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12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38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Среднегодовая численность постоянного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30 851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30 447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30 211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30 010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29 827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29 659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29 501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12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38.1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Численность населения на начало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31 124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30 578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30 316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30 106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29 913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29 740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29 577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38.2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Численность родившихся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353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355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358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355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352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350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38.3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Численность умерших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505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443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425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417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410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2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38.4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Естественный прирост (+),убыль(-)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-152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-145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-100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-85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-70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-65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-60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38.5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Численность прибывших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1 089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1 126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1 120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1 112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1 107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1 096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38.6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Численность убывших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1 483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1 243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1 230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1 220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1 210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1 198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1 188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38.7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Миграционный прирост(+),убыль(-)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-394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-117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-110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-108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-103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-98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solid" w:color="C0C0C0" w:fill="FFFFFF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-92</w:t>
            </w:r>
          </w:p>
        </w:tc>
      </w:tr>
    </w:tbl>
    <w:p w:rsidR="00000000" w:rsidRDefault="005E52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IX. Энергосбережение и повышение энергетической эффективности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39. Удельная величина потребления энергетических ресурсов (электрическая и тепловая энергия, вода, природный газ) в многоквартирных домах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39.4. Текущий показатель по холодной воде  увелич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ился по сравнению с 2019 годом в связи с увеличением объема потребления. По оценке 2021 года и краткосрочной перспективе до 2023 года показатель значительных изменений не претерпит. 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Таблица 1. Расшифровка показателя №39.4</w:t>
      </w:r>
    </w:p>
    <w:tbl>
      <w:tblPr>
        <w:tblW w:w="0" w:type="auto"/>
        <w:tblInd w:w="103" w:type="dxa"/>
        <w:tblLayout w:type="fixed"/>
        <w:tblLook w:val="0000"/>
      </w:tblPr>
      <w:tblGrid>
        <w:gridCol w:w="497"/>
        <w:gridCol w:w="2485"/>
        <w:gridCol w:w="1559"/>
        <w:gridCol w:w="993"/>
        <w:gridCol w:w="992"/>
        <w:gridCol w:w="992"/>
        <w:gridCol w:w="1048"/>
        <w:gridCol w:w="1043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№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Единиц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ы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 xml:space="preserve">2019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2020 отчет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2021 прогноз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2022 прогноз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2023 прогноз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39.4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холодная вода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куб.метров на 1 проживающего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19,79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19,79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19,79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19,79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 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объем потребления воды (холодной)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куб.м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74540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75320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75320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75320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75320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lastRenderedPageBreak/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чис</w:t>
            </w: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ло проживающих в многоквартирных домах, которым отпущен соответствующий энергетический ресурс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3746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3807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3807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3807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3807</w:t>
            </w:r>
          </w:p>
        </w:tc>
      </w:tr>
    </w:tbl>
    <w:p w:rsidR="00000000" w:rsidRDefault="005E52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39.3. Текущий показатель по горячей воде   увеличился  по сравнению с 2019 годом за счет увеличения фактического потребления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. В прогнозируемом периоде 2021-2023 годов показатель значительных изменений не претерпит, на его значении может отразиться только факт бережного отношения проживающего населения к потреблению энергоресурсов и установка приборов учета.</w:t>
      </w:r>
    </w:p>
    <w:p w:rsidR="00000000" w:rsidRDefault="005E52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000000" w:rsidRDefault="005E52E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Таблица 2. Расшифро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вка показателя №39.3</w:t>
      </w:r>
    </w:p>
    <w:tbl>
      <w:tblPr>
        <w:tblW w:w="0" w:type="auto"/>
        <w:tblInd w:w="103" w:type="dxa"/>
        <w:tblLayout w:type="fixed"/>
        <w:tblLook w:val="0000"/>
      </w:tblPr>
      <w:tblGrid>
        <w:gridCol w:w="497"/>
        <w:gridCol w:w="2485"/>
        <w:gridCol w:w="1559"/>
        <w:gridCol w:w="993"/>
        <w:gridCol w:w="992"/>
        <w:gridCol w:w="992"/>
        <w:gridCol w:w="1048"/>
        <w:gridCol w:w="1043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№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Единицы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 xml:space="preserve">2020 </w:t>
            </w:r>
          </w:p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2021 прогноз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2022 прогноз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2023 прогноз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39.3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горячая вода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куб.метров на 1 проживающего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15,21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15,4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15,3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 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объем потребления воды (горячей)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к</w:t>
            </w: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уб.м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52300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53300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52960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52616,7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52272,8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число проживающих в многоквартирных домах, которым отпущен соответствующий энергетический ресурс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3439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3439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3439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3439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3439</w:t>
            </w:r>
          </w:p>
        </w:tc>
      </w:tr>
    </w:tbl>
    <w:p w:rsidR="00000000" w:rsidRDefault="005E52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39.2. Показатель тепловой энергии  в 2020 году увеличился ввиду неблагоприятных п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огодных условий и увеличения тепловых потерь, прогнозируемые показатели на 2022-2023 значительных изменений не претерпят, на них может отразиться только факт бережного отношения проживающего населения к потреблению энергоресурсов и установка приборов учета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.</w:t>
      </w:r>
    </w:p>
    <w:p w:rsidR="00000000" w:rsidRDefault="005E52E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Таблица 3. Расшифровка показателя №39.2</w:t>
      </w:r>
    </w:p>
    <w:tbl>
      <w:tblPr>
        <w:tblW w:w="0" w:type="auto"/>
        <w:tblInd w:w="103" w:type="dxa"/>
        <w:tblLayout w:type="fixed"/>
        <w:tblLook w:val="0000"/>
      </w:tblPr>
      <w:tblGrid>
        <w:gridCol w:w="497"/>
        <w:gridCol w:w="2627"/>
        <w:gridCol w:w="1276"/>
        <w:gridCol w:w="1049"/>
        <w:gridCol w:w="1049"/>
        <w:gridCol w:w="1049"/>
        <w:gridCol w:w="1049"/>
        <w:gridCol w:w="1049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№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Единицы измерения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2019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 xml:space="preserve">2020 </w:t>
            </w:r>
          </w:p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отчет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2021 прогноз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2022 прогноз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2023 прогноз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39.2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тепловая энергия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Гкал на 1 кв. метр общей площади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0,61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0,62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0,61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0,60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0,59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объем потребленной тепловой эн</w:t>
            </w: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ергии в многоквартирных домах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Гкал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76870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78065,2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77043,0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75780,0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74517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общая площадь жилых помещений в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кв. метр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126300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126100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126300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126300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126300</w:t>
            </w:r>
          </w:p>
        </w:tc>
      </w:tr>
    </w:tbl>
    <w:p w:rsidR="00000000" w:rsidRDefault="005E52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000000" w:rsidRDefault="005E52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39.1 «Электрическая энергия» - Объем потребленной электроэнергии в многоквартирных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домах в 2020 году составил 4 234 424 кВт*ч (данные предоставлены ПАО «Красноярскэнергосбыт»), численность населения в 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многоквартирных домах не изменилась и составила 5914 чел. Показатель по электроэнергии  в 2020 году уменьшился, в связи с заменой ламп н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акаливания  в местах общего пользования на энергосберегающие лампы, проведена установка датчиков присутствия или таймеров в местах общего пользования, а также     использованием энергоэффективной бытовой техники в квартирах.  На период 2021-2023 годов пока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затель значительных изменений не претерпит, а на его значении может отразиться только факт бережного отношения проживающего населения к потреблению энергоресурсов.</w:t>
      </w:r>
    </w:p>
    <w:p w:rsidR="00000000" w:rsidRDefault="005E52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                                                Таблица 4. Расшифровка показателя №39.1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2"/>
        <w:gridCol w:w="2585"/>
        <w:gridCol w:w="1276"/>
        <w:gridCol w:w="1048"/>
        <w:gridCol w:w="1049"/>
        <w:gridCol w:w="1049"/>
        <w:gridCol w:w="1049"/>
        <w:gridCol w:w="1049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№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Н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Единицы измерения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 xml:space="preserve">2019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2020 отчет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2021 прогноз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2022 прогноз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2023 прогноз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39.1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электрическая энергия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 xml:space="preserve"> кВт·ч на 1 проживающего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1682,4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716,0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706,0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690,0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680,0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объем потребления электрической энергии в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кВТч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9949700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4234424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4175284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4080660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4021520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число проживающих в многоквартирных домах, которым отпущен соответствующий энергетический ресурс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человек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5914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5914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5914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5914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5914</w:t>
            </w:r>
          </w:p>
        </w:tc>
      </w:tr>
    </w:tbl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Показатели удельной величины потребления природного газа равны "0", так как в райо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не отсутствует инфраструктура.</w:t>
      </w:r>
    </w:p>
    <w:p w:rsidR="00000000" w:rsidRDefault="005E52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40. Удельная величина потребления энергетических ресурсов (электрическая и тепловая энергия, вода, природный газ) муниципальными бюджетными учреждениями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40.1 «Электрическая энергия» - Объем потребленной электроэнергии бю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джетными учреждениями в 2020 году составил 5363523 кВт*ч (данные предоставлены ПАО «Красноярскэнергосбыт»), численность населения на начало 2020 года составила – 30851 чел. Удельная величина потребления в 2020 году составила 173,85 кВт/ч на 1 человека насе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ления.</w:t>
      </w:r>
      <w:r>
        <w:rPr>
          <w:rFonts w:ascii="Calibri" w:hAnsi="Calibri" w:cs="Calibri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Увеличение объема потребляемой электроэнергии бюджетными учреждениями в 2020 году определяется тем, что значительная часть объектов изношена, требует капитального ремонта и имеет  низкий уровень благоустройства. В  районе ежегодно осуществляет перех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од от электрокотельных   на модульные (используемые твердое топливо).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40.2 «Тепловая энергия» - Потреблено тепловой энергии бюджетными учреждениями района 16993,56 Гкал (статистическая форма 1-теп), площадь занимаемая бюджетными учреждениями в 2020 году со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ставляет 37450 кв.м. Удельная величина потребления тепловой энергии бюджетными учреждениями района в 2020 году составила 0,45 Гкал на 1 кв.м. общей площади. Показатель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снизился по сравнению с 2019 годом ввиду благоприятных погодных условий и уменьшения теп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ловых потерь, к 2023 году ожидается постепенное снижение за счет мероприятий энергосбережения.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40.3  «Горячая вода» – удельная величина потребление горячей воды бюджетными учреждениями на 1 постоянно проживающего человека в районе в 2020 году составила 0,1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6 куб.м. на 1 человека, численность населения на начало 2020 года составила – 30851 человека, объем потребления горячей воды в 2020 году составил 4850 м.куб.,  показатель не изменился, благодаря установке приборов учета горячей воды в бюджетных учреждениях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. 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40.4 «Холодная вода» в 2020 году объем водопотребления муниципальными бюджетными учреждениями составил 78510 куб.м., численность населения на начало в 2020 года составила – 30851 человека. Удельная величина потребления холодной воды муниципальными бюдже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тными учреждениями составила 2,55 куб.метров на 1 человека населения, увеличение достигнуто в связи со снижением объема потребления.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40.5 «Природный газ» - природный газ бюджетными учреждениями не потребляется.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X. Независимая оценка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41. Результаты нез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</w:t>
      </w:r>
      <w:r w:rsidRPr="00FD55E9">
        <w:rPr>
          <w:rFonts w:ascii="Times New Roman" w:hAnsi="Times New Roman" w:cs="Times New Roman"/>
          <w:b/>
          <w:bCs/>
          <w:color w:val="000000"/>
          <w:sz w:val="28"/>
          <w:szCs w:val="28"/>
          <w:u w:color="FF0000"/>
        </w:rPr>
        <w:t>«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Интернет</w:t>
      </w:r>
      <w:r w:rsidRPr="00FD55E9">
        <w:rPr>
          <w:rFonts w:ascii="Times New Roman" w:hAnsi="Times New Roman" w:cs="Times New Roman"/>
          <w:b/>
          <w:bCs/>
          <w:color w:val="000000"/>
          <w:sz w:val="28"/>
          <w:szCs w:val="28"/>
          <w:u w:color="FF0000"/>
        </w:rPr>
        <w:t>») (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пр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и наличии)</w:t>
      </w: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000000" w:rsidRDefault="005E52ED" w:rsidP="00321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ab/>
        <w:t xml:space="preserve">Результаты независимой оценки качества условий оказания услуг муниципальными организациями в сферах культуры расположенными на территории Ужурского района и оказывающими услуги в указанной сфере за счет бюджетных ассигнований Ужурского района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(по данным официального сайта для размещения информации о государственных и муниципальных учреждениях в информационно-телекоммуникационной сети "Интернет"). В 2020 году проведена независимая оценка качества оказания услуг МБУК «Златоруновский поселковый му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зей». Результат  составил 80,68 баллов.</w:t>
      </w: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000000" w:rsidRDefault="005E52ED" w:rsidP="00321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Результаты 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расположенными на территор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информационно-телекоммуникационной сети «Интернет») (при наличии).</w:t>
      </w:r>
    </w:p>
    <w:tbl>
      <w:tblPr>
        <w:tblW w:w="0" w:type="auto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6"/>
        <w:gridCol w:w="498"/>
        <w:gridCol w:w="211"/>
        <w:gridCol w:w="5474"/>
        <w:gridCol w:w="196"/>
        <w:gridCol w:w="3084"/>
        <w:gridCol w:w="176"/>
      </w:tblGrid>
      <w:tr w:rsidR="00000000" w:rsidTr="00FD55E9">
        <w:tblPrEx>
          <w:tblCellMar>
            <w:top w:w="0" w:type="dxa"/>
            <w:bottom w:w="0" w:type="dxa"/>
          </w:tblCellMar>
        </w:tblPrEx>
        <w:trPr>
          <w:gridBefore w:val="1"/>
          <w:wBefore w:w="196" w:type="dxa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№ п/п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Наименование организации, в отношении которой проведена независимая оценка качества за отчетный год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Значение показателя оценки качества по организации (балл)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trHeight w:val="298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МБДОУ «Детский сад №</w:t>
            </w: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1»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74,7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МБДОУ «Детский сад № 2»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84,44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МБДОУ «Детский сад № 3»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71,84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МБДОУ «Приреченский детский сад»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73,2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МБДОУ «Солгонский детский сад»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77,02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МБОУ «Ужурская СОШ № 1»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74,02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МБОУ «Ужурская СОШ № 2»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75,22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МБОУ «Ужурская СОШ № 3»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76,88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МБОУ «Ужурская СОШ № 6»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77,72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МБОУ «Ашпанская ООШ»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76,04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МБОУ « Березовологская ООШ»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82,28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МБОУ «Златоруновская СОШ»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67,72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МБОУ «Ильинская СОШ»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84,38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МБОУ «Крутоярская СОШ»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70,94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МБОУ «Кулунская ООШ»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74,96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 xml:space="preserve">МБОУ </w:t>
            </w: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«Локшинская СОШ»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72,76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МБОУ «Малоимышская СОШ»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76,68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МБОУ «Михайловская СОШ»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75,42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МБОУ « Озероучумская ООШ»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68,9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МБОУ «Приреченская СОШ»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74,22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МБОУ «Солгонская СОШ»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63,92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МБОУ «Тургужанская ООШ»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72,64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МБДОУ ДО «УЦДО»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74,52</w:t>
            </w:r>
          </w:p>
        </w:tc>
      </w:tr>
      <w:tr w:rsidR="00000000" w:rsidTr="0032164C">
        <w:tblPrEx>
          <w:jc w:val="center"/>
          <w:tblCellMar>
            <w:top w:w="0" w:type="dxa"/>
            <w:bottom w:w="0" w:type="dxa"/>
          </w:tblCellMar>
        </w:tblPrEx>
        <w:trPr>
          <w:gridAfter w:val="1"/>
          <w:wAfter w:w="176" w:type="dxa"/>
          <w:jc w:val="center"/>
        </w:trPr>
        <w:tc>
          <w:tcPr>
            <w:tcW w:w="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</w:p>
        </w:tc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МБОУ ДО «Ужурская спортивная школа»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5E52E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color="FF0000"/>
              </w:rPr>
              <w:t>80,06</w:t>
            </w:r>
          </w:p>
        </w:tc>
      </w:tr>
    </w:tbl>
    <w:p w:rsidR="00000000" w:rsidRDefault="005E52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32164C" w:rsidRDefault="00321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32164C" w:rsidRDefault="00321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u w:color="FF0000"/>
        </w:rPr>
      </w:pPr>
      <w:r w:rsidRPr="0032164C">
        <w:rPr>
          <w:rFonts w:ascii="Times New Roman CYR" w:hAnsi="Times New Roman CYR" w:cs="Times New Roman CYR"/>
          <w:sz w:val="28"/>
          <w:szCs w:val="28"/>
          <w:u w:color="FF0000"/>
        </w:rPr>
        <w:t xml:space="preserve">Глава района      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                                                К.Н. Зарецкий</w:t>
      </w:r>
    </w:p>
    <w:p w:rsidR="0032164C" w:rsidRDefault="00321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32164C" w:rsidRDefault="00321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32164C" w:rsidRPr="0032164C" w:rsidRDefault="00321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  <w:u w:color="FF0000"/>
        </w:rPr>
      </w:pPr>
      <w:r>
        <w:rPr>
          <w:rFonts w:ascii="Times New Roman CYR" w:hAnsi="Times New Roman CYR" w:cs="Times New Roman CYR"/>
          <w:sz w:val="20"/>
          <w:szCs w:val="20"/>
          <w:u w:color="FF0000"/>
        </w:rPr>
        <w:t>Исполнитель Костяева Татьяна Викторовна, тел. 8(39156)21-0-74</w:t>
      </w:r>
    </w:p>
    <w:sectPr w:rsidR="0032164C" w:rsidRPr="0032164C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2ED" w:rsidRDefault="005E52ED" w:rsidP="00FD55E9">
      <w:pPr>
        <w:spacing w:after="0" w:line="240" w:lineRule="auto"/>
      </w:pPr>
      <w:r>
        <w:separator/>
      </w:r>
    </w:p>
  </w:endnote>
  <w:endnote w:type="continuationSeparator" w:id="1">
    <w:p w:rsidR="005E52ED" w:rsidRDefault="005E52ED" w:rsidP="00FD5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2ED" w:rsidRDefault="005E52ED" w:rsidP="00FD55E9">
      <w:pPr>
        <w:spacing w:after="0" w:line="240" w:lineRule="auto"/>
      </w:pPr>
      <w:r>
        <w:separator/>
      </w:r>
    </w:p>
  </w:footnote>
  <w:footnote w:type="continuationSeparator" w:id="1">
    <w:p w:rsidR="005E52ED" w:rsidRDefault="005E52ED" w:rsidP="00FD55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5235"/>
    <w:rsid w:val="0032164C"/>
    <w:rsid w:val="005E52ED"/>
    <w:rsid w:val="00A65235"/>
    <w:rsid w:val="00FD5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D55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D55E9"/>
  </w:style>
  <w:style w:type="paragraph" w:styleId="a5">
    <w:name w:val="footer"/>
    <w:basedOn w:val="a"/>
    <w:link w:val="a6"/>
    <w:uiPriority w:val="99"/>
    <w:semiHidden/>
    <w:unhideWhenUsed/>
    <w:rsid w:val="00FD55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D55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888C105F503C5A0E62D423BCB898B7782D5E0B8924134CD19C483988B544EC8B46AD816E10D4B9C75306B6A4s7a6G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54888C105F503C5A0E62D423BCB898B7782D5E098F27134CD19C483988B544EC9946F5886616CDB2971C40E3AB77E8971A3C33961C88s2a1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4888C105F503C5A0E62D423BCB898B7782D5E098F27134CD19C483988B544EC9946F5886616C9B2971C40E3AB77E8971A3C33961C88s2a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27</Pages>
  <Words>7785</Words>
  <Characters>44376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52057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Kostyeva</dc:creator>
  <cp:lastModifiedBy>Kostyeva</cp:lastModifiedBy>
  <cp:revision>2</cp:revision>
  <cp:lastPrinted>2021-04-29T04:47:00Z</cp:lastPrinted>
  <dcterms:created xsi:type="dcterms:W3CDTF">2021-04-29T04:49:00Z</dcterms:created>
  <dcterms:modified xsi:type="dcterms:W3CDTF">2021-04-29T04:49:00Z</dcterms:modified>
</cp:coreProperties>
</file>