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71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ED2CA0" w14:paraId="580BB0BA" w14:textId="77777777">
        <w:tc>
          <w:tcPr>
            <w:tcW w:w="9356" w:type="dxa"/>
            <w:gridSpan w:val="3"/>
          </w:tcPr>
          <w:bookmarkStart w:id="0" w:name="_Hlk131147585"/>
          <w:bookmarkStart w:id="1" w:name="_GoBack"/>
          <w:bookmarkEnd w:id="1"/>
          <w:p w14:paraId="55FEBC62" w14:textId="77777777" w:rsidR="00ED2CA0" w:rsidRDefault="00BC3199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inline distT="0" distB="0" distL="0" distR="0" wp14:anchorId="0DAA5E25" wp14:editId="5BEA5D0C">
                      <wp:extent cx="533400" cy="695325"/>
                      <wp:effectExtent l="0" t="0" r="0" b="952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953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pt;height:54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14:paraId="288DD179" w14:textId="77777777" w:rsidR="00ED2CA0" w:rsidRDefault="00BC319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14:paraId="63A9C893" w14:textId="77777777" w:rsidR="00ED2CA0" w:rsidRDefault="00BC319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14:paraId="0380A365" w14:textId="77777777" w:rsidR="00ED2CA0" w:rsidRDefault="00BC319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14:paraId="7909140F" w14:textId="77777777" w:rsidR="00ED2CA0" w:rsidRDefault="00ED2CA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C537065" w14:textId="77777777" w:rsidR="00ED2CA0" w:rsidRDefault="00BC3199">
            <w:pPr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РЕШЕНИЕ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ED2CA0" w14:paraId="78BDAD14" w14:textId="77777777">
        <w:tc>
          <w:tcPr>
            <w:tcW w:w="3095" w:type="dxa"/>
          </w:tcPr>
          <w:p w14:paraId="5387A7E9" w14:textId="77777777" w:rsidR="00ED2CA0" w:rsidRDefault="00BC319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00.00.0000</w:t>
            </w:r>
          </w:p>
        </w:tc>
        <w:tc>
          <w:tcPr>
            <w:tcW w:w="3096" w:type="dxa"/>
          </w:tcPr>
          <w:p w14:paraId="16417568" w14:textId="77777777" w:rsidR="00ED2CA0" w:rsidRDefault="00BC319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г. Ужур</w:t>
            </w:r>
          </w:p>
        </w:tc>
        <w:tc>
          <w:tcPr>
            <w:tcW w:w="3165" w:type="dxa"/>
          </w:tcPr>
          <w:p w14:paraId="6841CF80" w14:textId="799389CE" w:rsidR="00ED2CA0" w:rsidRDefault="00BC3199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r w:rsidR="00B4197A">
              <w:rPr>
                <w:szCs w:val="28"/>
                <w:lang w:eastAsia="en-US"/>
              </w:rPr>
              <w:t>00-000р</w:t>
            </w:r>
          </w:p>
          <w:p w14:paraId="3FC24E99" w14:textId="77777777" w:rsidR="00ED2CA0" w:rsidRDefault="00ED2CA0">
            <w:pPr>
              <w:jc w:val="center"/>
              <w:rPr>
                <w:szCs w:val="28"/>
                <w:lang w:eastAsia="en-US"/>
              </w:rPr>
            </w:pPr>
          </w:p>
          <w:p w14:paraId="1C4E090B" w14:textId="77777777" w:rsidR="00ED2CA0" w:rsidRDefault="00ED2CA0">
            <w:pPr>
              <w:jc w:val="center"/>
              <w:rPr>
                <w:szCs w:val="28"/>
                <w:lang w:eastAsia="en-US"/>
              </w:rPr>
            </w:pPr>
          </w:p>
        </w:tc>
      </w:tr>
      <w:tr w:rsidR="00ED2CA0" w14:paraId="7DB7CDFB" w14:textId="77777777">
        <w:tc>
          <w:tcPr>
            <w:tcW w:w="9356" w:type="dxa"/>
            <w:gridSpan w:val="3"/>
          </w:tcPr>
          <w:p w14:paraId="1FA5E06A" w14:textId="77777777" w:rsidR="00ED2CA0" w:rsidRDefault="00ED2CA0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14:paraId="399EF7A2" w14:textId="77777777" w:rsidR="00ED2CA0" w:rsidRDefault="00BC319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и дополнений</w:t>
            </w:r>
          </w:p>
          <w:p w14:paraId="228ED360" w14:textId="77777777" w:rsidR="00ED2CA0" w:rsidRDefault="00BC319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в Устав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района</w:t>
            </w:r>
          </w:p>
          <w:p w14:paraId="5C4FD554" w14:textId="77777777" w:rsidR="00ED2CA0" w:rsidRDefault="00BC3199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Красноярского края</w:t>
            </w:r>
            <w:bookmarkEnd w:id="0"/>
          </w:p>
        </w:tc>
      </w:tr>
    </w:tbl>
    <w:p w14:paraId="0F66078E" w14:textId="77777777" w:rsidR="00ED2CA0" w:rsidRDefault="00BC3199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</w:p>
    <w:p w14:paraId="583C7F51" w14:textId="0B21265C" w:rsidR="00ED2CA0" w:rsidRDefault="00BC3199">
      <w:pPr>
        <w:ind w:firstLine="709"/>
        <w:jc w:val="both"/>
        <w:rPr>
          <w:szCs w:val="28"/>
        </w:rPr>
      </w:pPr>
      <w:bookmarkStart w:id="2" w:name="_Hlk131147610"/>
      <w:r>
        <w:rPr>
          <w:szCs w:val="28"/>
        </w:rPr>
        <w:t xml:space="preserve">В целях приведения Устава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26.06.2008 </w:t>
      </w:r>
      <w:r w:rsidR="0092091B">
        <w:rPr>
          <w:szCs w:val="28"/>
        </w:rPr>
        <w:t>№</w:t>
      </w:r>
      <w:r>
        <w:rPr>
          <w:szCs w:val="28"/>
        </w:rPr>
        <w:t xml:space="preserve"> 6-1832 </w:t>
      </w:r>
      <w:r w:rsidR="0092091B">
        <w:rPr>
          <w:szCs w:val="28"/>
        </w:rPr>
        <w:t>«</w:t>
      </w:r>
      <w:r>
        <w:rPr>
          <w:szCs w:val="28"/>
        </w:rPr>
        <w:t>О гарантиях осуществления полномочий лиц, замещающих муниципальные должности в Красноярском крае</w:t>
      </w:r>
      <w:r w:rsidR="0092091B">
        <w:rPr>
          <w:szCs w:val="28"/>
        </w:rPr>
        <w:t>»</w:t>
      </w:r>
      <w:r>
        <w:rPr>
          <w:szCs w:val="28"/>
        </w:rPr>
        <w:t xml:space="preserve">, руководствуясь статьей 23 Устава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>
        <w:rPr>
          <w:szCs w:val="28"/>
        </w:rPr>
        <w:t>Ужурский</w:t>
      </w:r>
      <w:proofErr w:type="spellEnd"/>
      <w:r>
        <w:rPr>
          <w:szCs w:val="28"/>
        </w:rPr>
        <w:t xml:space="preserve"> районный Совет депутатов РЕШИЛ:</w:t>
      </w:r>
    </w:p>
    <w:p w14:paraId="6407AEC4" w14:textId="77777777" w:rsidR="00627684" w:rsidRDefault="00BC3199" w:rsidP="00627684">
      <w:pPr>
        <w:ind w:firstLine="709"/>
        <w:jc w:val="both"/>
      </w:pPr>
      <w:r>
        <w:rPr>
          <w:szCs w:val="28"/>
        </w:rPr>
        <w:t xml:space="preserve">1. Внести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следующие изменения и дополнения:</w:t>
      </w:r>
    </w:p>
    <w:p w14:paraId="5D826546" w14:textId="555BC0A3" w:rsidR="00ED2CA0" w:rsidRDefault="00BC3199" w:rsidP="00627684">
      <w:pPr>
        <w:ind w:firstLine="709"/>
        <w:jc w:val="both"/>
      </w:pPr>
      <w:r>
        <w:t>1.1.</w:t>
      </w:r>
      <w:r w:rsidR="00627684">
        <w:t xml:space="preserve"> </w:t>
      </w:r>
      <w:r>
        <w:t xml:space="preserve">Пункт 2 статьи 17 изложить в </w:t>
      </w:r>
      <w:r w:rsidR="00627684">
        <w:t>новой</w:t>
      </w:r>
      <w:r>
        <w:t xml:space="preserve"> редакции: </w:t>
      </w:r>
    </w:p>
    <w:p w14:paraId="6E7427A9" w14:textId="71792B85" w:rsidR="00ED2CA0" w:rsidRDefault="00BC3199">
      <w:pPr>
        <w:ind w:firstLine="709"/>
        <w:jc w:val="both"/>
      </w:pPr>
      <w:r>
        <w:t>«2. В случае временного отсутствия главы района (отпуск, болезнь, командировка) его полномочия исполняет первый заместитель главы района, а в его отсутствие –</w:t>
      </w:r>
      <w:r w:rsidR="009336FF">
        <w:t xml:space="preserve"> </w:t>
      </w:r>
      <w:r>
        <w:t>заместители главы района, определенные в соответствии с последовательностью, установленной пунктом 1 настоящей статьи.».</w:t>
      </w:r>
    </w:p>
    <w:p w14:paraId="79227A8C" w14:textId="29B497E0" w:rsidR="00ED2CA0" w:rsidRDefault="00BC3199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627684">
        <w:rPr>
          <w:szCs w:val="28"/>
        </w:rPr>
        <w:t>Статью 59 изложить в новой редакции:</w:t>
      </w:r>
    </w:p>
    <w:p w14:paraId="1237A174" w14:textId="702B93FA" w:rsidR="00A90570" w:rsidRPr="00E33F4C" w:rsidRDefault="00A90570" w:rsidP="00A90570">
      <w:pPr>
        <w:ind w:firstLine="709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«</w:t>
      </w:r>
      <w:r w:rsidRPr="00E33F4C">
        <w:rPr>
          <w:b/>
          <w:bCs/>
          <w:color w:val="000000"/>
          <w:szCs w:val="28"/>
        </w:rPr>
        <w:t xml:space="preserve">Статья </w:t>
      </w:r>
      <w:r>
        <w:rPr>
          <w:b/>
          <w:bCs/>
          <w:color w:val="000000"/>
          <w:szCs w:val="28"/>
        </w:rPr>
        <w:t>59</w:t>
      </w:r>
      <w:r w:rsidRPr="00E33F4C">
        <w:rPr>
          <w:b/>
          <w:bCs/>
          <w:color w:val="000000"/>
          <w:szCs w:val="28"/>
        </w:rPr>
        <w:t>. Пенсионное обеспечение лиц, замещающ</w:t>
      </w:r>
      <w:r>
        <w:rPr>
          <w:b/>
          <w:bCs/>
          <w:color w:val="000000"/>
          <w:szCs w:val="28"/>
        </w:rPr>
        <w:t>их</w:t>
      </w:r>
      <w:r w:rsidRPr="00E33F4C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муниципальные должности </w:t>
      </w:r>
      <w:r w:rsidRPr="00E33F4C">
        <w:rPr>
          <w:b/>
          <w:bCs/>
          <w:color w:val="000000"/>
          <w:szCs w:val="28"/>
        </w:rPr>
        <w:t xml:space="preserve">на постоянной основе </w:t>
      </w:r>
    </w:p>
    <w:p w14:paraId="6A250FCB" w14:textId="77777777" w:rsidR="00A90570" w:rsidRPr="00965F43" w:rsidRDefault="00A90570" w:rsidP="00AF15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33F4C">
        <w:rPr>
          <w:color w:val="000000"/>
          <w:szCs w:val="28"/>
        </w:rPr>
        <w:t>1. Лиц</w:t>
      </w:r>
      <w:r>
        <w:rPr>
          <w:color w:val="000000"/>
          <w:szCs w:val="28"/>
        </w:rPr>
        <w:t>а</w:t>
      </w:r>
      <w:r w:rsidRPr="00E33F4C">
        <w:rPr>
          <w:color w:val="000000"/>
          <w:szCs w:val="28"/>
        </w:rPr>
        <w:t>, замещавш</w:t>
      </w:r>
      <w:r>
        <w:rPr>
          <w:color w:val="000000"/>
          <w:szCs w:val="28"/>
        </w:rPr>
        <w:t>и</w:t>
      </w:r>
      <w:r w:rsidRPr="00E33F4C">
        <w:rPr>
          <w:color w:val="000000"/>
          <w:szCs w:val="28"/>
        </w:rPr>
        <w:t xml:space="preserve">е </w:t>
      </w:r>
      <w:r>
        <w:rPr>
          <w:color w:val="000000"/>
          <w:szCs w:val="28"/>
        </w:rPr>
        <w:t xml:space="preserve">муниципальные должности </w:t>
      </w:r>
      <w:r w:rsidRPr="00E33F4C">
        <w:rPr>
          <w:color w:val="000000"/>
          <w:szCs w:val="28"/>
        </w:rPr>
        <w:t>на постоянной основе не менее пяти лет и получавш</w:t>
      </w:r>
      <w:r>
        <w:rPr>
          <w:color w:val="000000"/>
          <w:szCs w:val="28"/>
        </w:rPr>
        <w:t>и</w:t>
      </w:r>
      <w:r w:rsidRPr="00E33F4C">
        <w:rPr>
          <w:color w:val="000000"/>
          <w:szCs w:val="28"/>
        </w:rPr>
        <w:t xml:space="preserve">е денежное вознаграждение за счет средств </w:t>
      </w:r>
      <w:r>
        <w:rPr>
          <w:color w:val="000000"/>
          <w:szCs w:val="28"/>
        </w:rPr>
        <w:t>местного бюджета</w:t>
      </w:r>
      <w:r w:rsidRPr="00E33F4C">
        <w:rPr>
          <w:color w:val="000000"/>
          <w:szCs w:val="28"/>
        </w:rPr>
        <w:t>, прекративш</w:t>
      </w:r>
      <w:r>
        <w:rPr>
          <w:color w:val="000000"/>
          <w:szCs w:val="28"/>
        </w:rPr>
        <w:t>и</w:t>
      </w:r>
      <w:r w:rsidRPr="00E33F4C">
        <w:rPr>
          <w:color w:val="000000"/>
          <w:szCs w:val="28"/>
        </w:rPr>
        <w:t xml:space="preserve">е исполнение полномочий (в том числе досрочно), за исключением случаев прекращения полномочий </w:t>
      </w:r>
      <w:r>
        <w:rPr>
          <w:szCs w:val="28"/>
        </w:rPr>
        <w:t xml:space="preserve">по основаниям, предусмотренным </w:t>
      </w:r>
      <w:hyperlink r:id="rId10" w:history="1">
        <w:r>
          <w:rPr>
            <w:color w:val="0000FF"/>
            <w:szCs w:val="28"/>
          </w:rPr>
          <w:t>абзацем седьмым части 16 статьи 35</w:t>
        </w:r>
      </w:hyperlink>
      <w:r>
        <w:rPr>
          <w:szCs w:val="28"/>
        </w:rPr>
        <w:t xml:space="preserve">, </w:t>
      </w:r>
      <w:hyperlink r:id="rId11" w:history="1">
        <w:r>
          <w:rPr>
            <w:color w:val="0000FF"/>
            <w:szCs w:val="28"/>
          </w:rPr>
          <w:t>пунктами 2.1</w:t>
        </w:r>
      </w:hyperlink>
      <w:r>
        <w:rPr>
          <w:szCs w:val="28"/>
        </w:rPr>
        <w:t xml:space="preserve">, </w:t>
      </w:r>
      <w:hyperlink r:id="rId12" w:history="1">
        <w:r>
          <w:rPr>
            <w:color w:val="0000FF"/>
            <w:szCs w:val="28"/>
          </w:rPr>
          <w:t>3</w:t>
        </w:r>
      </w:hyperlink>
      <w:r>
        <w:rPr>
          <w:szCs w:val="28"/>
        </w:rPr>
        <w:t xml:space="preserve">, </w:t>
      </w:r>
      <w:hyperlink r:id="rId13" w:history="1">
        <w:r>
          <w:rPr>
            <w:color w:val="0000FF"/>
            <w:szCs w:val="28"/>
          </w:rPr>
          <w:t>6</w:t>
        </w:r>
      </w:hyperlink>
      <w:r>
        <w:rPr>
          <w:szCs w:val="28"/>
        </w:rPr>
        <w:t xml:space="preserve"> - </w:t>
      </w:r>
      <w:hyperlink r:id="rId14" w:history="1">
        <w:r>
          <w:rPr>
            <w:color w:val="0000FF"/>
            <w:szCs w:val="28"/>
          </w:rPr>
          <w:t>9 части 6</w:t>
        </w:r>
      </w:hyperlink>
      <w:r>
        <w:rPr>
          <w:szCs w:val="28"/>
        </w:rPr>
        <w:t xml:space="preserve">, </w:t>
      </w:r>
      <w:hyperlink r:id="rId15" w:history="1">
        <w:r>
          <w:rPr>
            <w:color w:val="0000FF"/>
            <w:szCs w:val="28"/>
          </w:rPr>
          <w:t>частью 6.1 статьи 36</w:t>
        </w:r>
      </w:hyperlink>
      <w:r>
        <w:rPr>
          <w:szCs w:val="28"/>
        </w:rPr>
        <w:t xml:space="preserve">, </w:t>
      </w:r>
      <w:hyperlink r:id="rId16" w:history="1">
        <w:r>
          <w:rPr>
            <w:color w:val="0000FF"/>
            <w:szCs w:val="28"/>
          </w:rPr>
          <w:t>частью 7.1</w:t>
        </w:r>
      </w:hyperlink>
      <w:r>
        <w:rPr>
          <w:szCs w:val="28"/>
        </w:rPr>
        <w:t xml:space="preserve">, </w:t>
      </w:r>
      <w:hyperlink r:id="rId17" w:history="1">
        <w:r>
          <w:rPr>
            <w:color w:val="0000FF"/>
            <w:szCs w:val="28"/>
          </w:rPr>
          <w:t>пунктами 5</w:t>
        </w:r>
      </w:hyperlink>
      <w:r>
        <w:rPr>
          <w:szCs w:val="28"/>
        </w:rPr>
        <w:t xml:space="preserve"> - </w:t>
      </w:r>
      <w:hyperlink r:id="rId18" w:history="1">
        <w:r>
          <w:rPr>
            <w:color w:val="0000FF"/>
            <w:szCs w:val="28"/>
          </w:rPr>
          <w:t>8</w:t>
        </w:r>
      </w:hyperlink>
      <w:r>
        <w:rPr>
          <w:szCs w:val="28"/>
        </w:rPr>
        <w:t xml:space="preserve">, </w:t>
      </w:r>
      <w:hyperlink r:id="rId19" w:history="1">
        <w:r>
          <w:rPr>
            <w:color w:val="0000FF"/>
            <w:szCs w:val="28"/>
          </w:rPr>
          <w:t>9.2 части 10</w:t>
        </w:r>
      </w:hyperlink>
      <w:r>
        <w:rPr>
          <w:szCs w:val="28"/>
        </w:rPr>
        <w:t xml:space="preserve">, </w:t>
      </w:r>
      <w:hyperlink r:id="rId20" w:history="1">
        <w:r>
          <w:rPr>
            <w:color w:val="0000FF"/>
            <w:szCs w:val="28"/>
          </w:rPr>
          <w:t>частью 10.1 статьи 40</w:t>
        </w:r>
      </w:hyperlink>
      <w:r>
        <w:rPr>
          <w:szCs w:val="28"/>
        </w:rPr>
        <w:t xml:space="preserve">, </w:t>
      </w:r>
      <w:hyperlink r:id="rId21" w:history="1">
        <w:r>
          <w:rPr>
            <w:color w:val="0000FF"/>
            <w:szCs w:val="28"/>
          </w:rPr>
          <w:t>частями 1</w:t>
        </w:r>
      </w:hyperlink>
      <w:r>
        <w:rPr>
          <w:szCs w:val="28"/>
        </w:rPr>
        <w:t xml:space="preserve"> и </w:t>
      </w:r>
      <w:hyperlink r:id="rId22" w:history="1">
        <w:r>
          <w:rPr>
            <w:color w:val="0000FF"/>
            <w:szCs w:val="28"/>
          </w:rPr>
          <w:t>2 статьи 73</w:t>
        </w:r>
      </w:hyperlink>
      <w:r w:rsidRPr="00E33F4C">
        <w:rPr>
          <w:color w:val="000000"/>
          <w:szCs w:val="28"/>
        </w:rPr>
        <w:t> </w:t>
      </w:r>
      <w:hyperlink r:id="rId23" w:tgtFrame="_blank" w:history="1">
        <w:r w:rsidRPr="00E33F4C">
          <w:rPr>
            <w:color w:val="0000FF"/>
            <w:szCs w:val="28"/>
          </w:rPr>
          <w:t>Федерального закона от 06.10.2003 № 131-ФЗ</w:t>
        </w:r>
      </w:hyperlink>
      <w:r w:rsidRPr="00E33F4C">
        <w:rPr>
          <w:color w:val="000000"/>
          <w:szCs w:val="28"/>
        </w:rPr>
        <w:t> «Об общих принципах организации местного самоуправления в Российской Федерации»</w:t>
      </w:r>
      <w:r>
        <w:rPr>
          <w:color w:val="000000"/>
          <w:szCs w:val="28"/>
        </w:rPr>
        <w:t>,</w:t>
      </w:r>
      <w:r w:rsidRPr="00E33F4C">
        <w:rPr>
          <w:color w:val="000000"/>
          <w:szCs w:val="28"/>
        </w:rPr>
        <w:t xml:space="preserve"> име</w:t>
      </w:r>
      <w:r>
        <w:rPr>
          <w:color w:val="000000"/>
          <w:szCs w:val="28"/>
        </w:rPr>
        <w:t>ю</w:t>
      </w:r>
      <w:r w:rsidRPr="00E33F4C">
        <w:rPr>
          <w:color w:val="000000"/>
          <w:szCs w:val="28"/>
        </w:rPr>
        <w:t>т право на пенсию за выслугу лет, устанавливаемую к страховой пенсии по старости (инвалидности), назначенной в соответствии с </w:t>
      </w:r>
      <w:hyperlink r:id="rId24" w:tgtFrame="_blank" w:history="1">
        <w:r w:rsidRPr="00E33F4C">
          <w:rPr>
            <w:color w:val="0000FF"/>
            <w:szCs w:val="28"/>
          </w:rPr>
          <w:t>Федеральным законом от 28.12.2013 № 400-ФЗ</w:t>
        </w:r>
      </w:hyperlink>
      <w:r w:rsidRPr="00E33F4C">
        <w:rPr>
          <w:color w:val="000000"/>
          <w:szCs w:val="28"/>
        </w:rPr>
        <w:t xml:space="preserve"> «О страховых пенсиях», либо к пенсии, досрочно назначенной в </w:t>
      </w:r>
      <w:r w:rsidRPr="00E33F4C">
        <w:rPr>
          <w:color w:val="000000"/>
          <w:szCs w:val="28"/>
        </w:rPr>
        <w:lastRenderedPageBreak/>
        <w:t>соответствии с </w:t>
      </w:r>
      <w:hyperlink r:id="rId25" w:tgtFrame="_blank" w:history="1">
        <w:r w:rsidRPr="00E33F4C">
          <w:rPr>
            <w:color w:val="0000FF"/>
            <w:szCs w:val="28"/>
          </w:rPr>
          <w:t>Федеральным законом от 12.12.2023 № 565-ФЗ</w:t>
        </w:r>
      </w:hyperlink>
      <w:r w:rsidRPr="00E33F4C">
        <w:rPr>
          <w:color w:val="000000"/>
          <w:szCs w:val="28"/>
        </w:rPr>
        <w:t> «О занятости населения в Российской Федерации», а также к пенсии по государственному пенсионному обеспечению, назначенной в соответствии с подпунктами 2 и 4 пункта 1 ст. 4 </w:t>
      </w:r>
      <w:hyperlink r:id="rId26" w:tgtFrame="_blank" w:history="1">
        <w:r w:rsidRPr="00E33F4C">
          <w:rPr>
            <w:color w:val="0000FF"/>
            <w:szCs w:val="28"/>
          </w:rPr>
          <w:t>Федерального закона от 15.12.2001 № 166-ФЗ</w:t>
        </w:r>
      </w:hyperlink>
      <w:r w:rsidRPr="00E33F4C">
        <w:rPr>
          <w:color w:val="000000"/>
          <w:szCs w:val="28"/>
        </w:rPr>
        <w:t> «О государственном пенсионном обеспечении в Российской Федерации».</w:t>
      </w:r>
    </w:p>
    <w:p w14:paraId="2ADBCEC4" w14:textId="77777777" w:rsidR="00A90570" w:rsidRDefault="00A90570" w:rsidP="00A9057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E33F4C">
        <w:rPr>
          <w:color w:val="000000"/>
          <w:szCs w:val="28"/>
        </w:rPr>
        <w:t>. Случаи, когда пенсия за выслугу лет не выплачивается, основания возобновления выплаты пенсии за выслугу лет определяются </w:t>
      </w:r>
      <w:hyperlink r:id="rId27" w:tgtFrame="_blank" w:history="1">
        <w:r w:rsidRPr="00E33F4C">
          <w:rPr>
            <w:color w:val="0000FF"/>
            <w:szCs w:val="28"/>
          </w:rPr>
          <w:t>Законом Красноярского края от 26.06.2008 № 6-1832</w:t>
        </w:r>
      </w:hyperlink>
      <w:r w:rsidRPr="00E33F4C">
        <w:rPr>
          <w:color w:val="000000"/>
          <w:szCs w:val="28"/>
        </w:rPr>
        <w:t> «О гарантиях осуществления полномочий лиц, замещающих муниципальные должности в Красноярском крае».</w:t>
      </w:r>
    </w:p>
    <w:p w14:paraId="4D97FDE2" w14:textId="07C282E9" w:rsidR="00A90570" w:rsidRPr="003B06F5" w:rsidRDefault="00A90570" w:rsidP="00A9057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F61104">
        <w:rPr>
          <w:szCs w:val="28"/>
        </w:rPr>
        <w:t>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 обвинительного приговора суда, со дня приобретения статуса иностранного агента</w:t>
      </w:r>
      <w:r w:rsidR="00A62DDE">
        <w:rPr>
          <w:szCs w:val="28"/>
        </w:rPr>
        <w:t>.</w:t>
      </w:r>
    </w:p>
    <w:p w14:paraId="5AF3A848" w14:textId="04AB78D2" w:rsidR="00A90570" w:rsidRPr="00E33F4C" w:rsidRDefault="00A90570" w:rsidP="00A9057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E33F4C">
        <w:rPr>
          <w:color w:val="000000"/>
          <w:szCs w:val="28"/>
        </w:rPr>
        <w:t xml:space="preserve">. </w:t>
      </w:r>
      <w:r w:rsidRPr="00A90570">
        <w:rPr>
          <w:color w:val="000000"/>
          <w:szCs w:val="28"/>
        </w:rPr>
        <w:t>Пенсия за выслугу лет</w:t>
      </w:r>
      <w:r>
        <w:rPr>
          <w:color w:val="000000"/>
          <w:szCs w:val="28"/>
        </w:rPr>
        <w:t xml:space="preserve">, выплачивается за счет средств местного бюджета, </w:t>
      </w:r>
      <w:r w:rsidRPr="00A90570">
        <w:rPr>
          <w:color w:val="000000"/>
          <w:szCs w:val="28"/>
        </w:rPr>
        <w:t>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страховой пенсии, установленных в соответствии с </w:t>
      </w:r>
      <w:hyperlink r:id="rId28" w:tgtFrame="_blank" w:history="1">
        <w:r w:rsidRPr="00A90570">
          <w:rPr>
            <w:color w:val="0000FF"/>
            <w:szCs w:val="28"/>
          </w:rPr>
          <w:t>Федеральным законом «О страховых пенсиях»</w:t>
        </w:r>
      </w:hyperlink>
      <w:r w:rsidRPr="00A90570">
        <w:rPr>
          <w:color w:val="000000"/>
          <w:szCs w:val="28"/>
        </w:rPr>
        <w:t xml:space="preserve">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вознаграждения, при наличии срока исполнения полномочий в муниципальной должности пять лет. Размер пенсии за выслугу лет </w:t>
      </w:r>
      <w:r>
        <w:rPr>
          <w:color w:val="000000"/>
          <w:szCs w:val="28"/>
        </w:rPr>
        <w:t xml:space="preserve">может </w:t>
      </w:r>
      <w:r w:rsidRPr="00A90570">
        <w:rPr>
          <w:color w:val="000000"/>
          <w:szCs w:val="28"/>
        </w:rPr>
        <w:t xml:space="preserve">увеличивается на пять процентов </w:t>
      </w:r>
      <w:r>
        <w:rPr>
          <w:color w:val="000000"/>
          <w:szCs w:val="28"/>
        </w:rPr>
        <w:t>двукратного месячного</w:t>
      </w:r>
      <w:r w:rsidRPr="00A90570">
        <w:rPr>
          <w:color w:val="000000"/>
          <w:szCs w:val="28"/>
        </w:rPr>
        <w:t xml:space="preserve"> денежного вознаграждения за каждый последующий год исполнения полномочий в муниципальной должности, при этом сумма 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вознаграждения.</w:t>
      </w:r>
    </w:p>
    <w:p w14:paraId="508BC28C" w14:textId="77777777" w:rsidR="00A90570" w:rsidRPr="00E33F4C" w:rsidRDefault="00A90570" w:rsidP="00A9057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E33F4C">
        <w:rPr>
          <w:color w:val="000000"/>
          <w:szCs w:val="28"/>
        </w:rPr>
        <w:t>. При определении размера пенсии за выслугу лет в порядке, установленном настоящей статьей, не учитываются суммы, предусмотренные пунктом 3 ст. 14 </w:t>
      </w:r>
      <w:hyperlink r:id="rId29" w:tgtFrame="_blank" w:history="1">
        <w:r w:rsidRPr="00E33F4C">
          <w:rPr>
            <w:color w:val="0000FF"/>
            <w:szCs w:val="28"/>
          </w:rPr>
          <w:t>Федерального закона от 15.12.2001 № 166-ФЗ</w:t>
        </w:r>
      </w:hyperlink>
      <w:r w:rsidRPr="00E33F4C">
        <w:rPr>
          <w:color w:val="000000"/>
          <w:szCs w:val="28"/>
        </w:rPr>
        <w:t> «О государственном пенсионном обеспечении в Российской Федерации».</w:t>
      </w:r>
    </w:p>
    <w:p w14:paraId="1CB36062" w14:textId="77777777" w:rsidR="00A90570" w:rsidRPr="00E33F4C" w:rsidRDefault="00A90570" w:rsidP="00A9057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153154">
        <w:rPr>
          <w:color w:val="000000"/>
          <w:szCs w:val="28"/>
        </w:rPr>
        <w:t>. Минимальный размер пенсии за выслугу лет устанавливается в размере 15000 рублей.</w:t>
      </w:r>
    </w:p>
    <w:p w14:paraId="1F2E1C9E" w14:textId="7F4868E5" w:rsidR="00A90570" w:rsidRPr="00E33F4C" w:rsidRDefault="00AF1517" w:rsidP="00A9057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A90570" w:rsidRPr="00E33F4C">
        <w:rPr>
          <w:color w:val="000000"/>
          <w:szCs w:val="28"/>
        </w:rPr>
        <w:t xml:space="preserve">. Увеличение месячного денежного вознаграждения по </w:t>
      </w:r>
      <w:r w:rsidR="00A90570">
        <w:rPr>
          <w:color w:val="000000"/>
          <w:szCs w:val="28"/>
        </w:rPr>
        <w:t xml:space="preserve">муниципальной </w:t>
      </w:r>
      <w:r w:rsidR="00A90570" w:rsidRPr="00E33F4C">
        <w:rPr>
          <w:color w:val="000000"/>
          <w:szCs w:val="28"/>
        </w:rPr>
        <w:t xml:space="preserve">должности, занимаемой на день прекращения полномочий, является основанием для перерасчета пенсии за выслугу лет. Размер пенсии за выслугу лет пересчитывается также при изменении размера страховой пенсии по </w:t>
      </w:r>
      <w:r w:rsidR="00A90570" w:rsidRPr="00E33F4C">
        <w:rPr>
          <w:color w:val="000000"/>
          <w:szCs w:val="28"/>
        </w:rPr>
        <w:lastRenderedPageBreak/>
        <w:t>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обеспечению, с учетом которых установлена пенсия за выслугу лет.</w:t>
      </w:r>
      <w:r w:rsidR="00A90570">
        <w:rPr>
          <w:color w:val="000000"/>
          <w:szCs w:val="28"/>
        </w:rPr>
        <w:t xml:space="preserve"> </w:t>
      </w:r>
    </w:p>
    <w:p w14:paraId="470C8CF3" w14:textId="4A8582EF" w:rsidR="00A90570" w:rsidRDefault="00AF1517" w:rsidP="00A62DD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A90570" w:rsidRPr="00E33F4C">
        <w:rPr>
          <w:color w:val="000000"/>
          <w:szCs w:val="28"/>
        </w:rPr>
        <w:t>. В случае отсутствия необходимого срока исполнения полномочий для установления пенсии за выслугу лет по основаниям, определенным статьей 8 </w:t>
      </w:r>
      <w:bookmarkStart w:id="3" w:name="_Hlk199940365"/>
      <w:r w:rsidR="00A90570">
        <w:fldChar w:fldCharType="begin"/>
      </w:r>
      <w:r w:rsidR="00A90570">
        <w:instrText xml:space="preserve"> HYPERLINK "https://pravo-search.minjust.ru/bigs/showDocument.html?id=6682DDF3-A0C4-43A2-B9E2-1FFEC9578268" \t "_blank" </w:instrText>
      </w:r>
      <w:r w:rsidR="00A90570">
        <w:fldChar w:fldCharType="separate"/>
      </w:r>
      <w:r w:rsidR="00A90570" w:rsidRPr="00E33F4C">
        <w:rPr>
          <w:color w:val="0000FF"/>
          <w:szCs w:val="28"/>
        </w:rPr>
        <w:t>Закона Красноярского края от 26.06.2008 № 6-1832</w:t>
      </w:r>
      <w:r w:rsidR="00A90570">
        <w:rPr>
          <w:color w:val="0000FF"/>
          <w:szCs w:val="28"/>
        </w:rPr>
        <w:fldChar w:fldCharType="end"/>
      </w:r>
      <w:r w:rsidR="00A90570" w:rsidRPr="00E33F4C">
        <w:rPr>
          <w:color w:val="000000"/>
          <w:szCs w:val="28"/>
        </w:rPr>
        <w:t> «О гарантиях осуществления полномочий лиц, замещающих муниципальные должности в Красноярском крае»</w:t>
      </w:r>
      <w:bookmarkEnd w:id="3"/>
      <w:r w:rsidR="00A90570" w:rsidRPr="00E33F4C">
        <w:rPr>
          <w:color w:val="000000"/>
          <w:szCs w:val="28"/>
        </w:rPr>
        <w:t>, лиц</w:t>
      </w:r>
      <w:r w:rsidR="00A90570">
        <w:rPr>
          <w:color w:val="000000"/>
          <w:szCs w:val="28"/>
        </w:rPr>
        <w:t>ам</w:t>
      </w:r>
      <w:r w:rsidR="00A90570" w:rsidRPr="00E33F4C">
        <w:rPr>
          <w:color w:val="000000"/>
          <w:szCs w:val="28"/>
        </w:rPr>
        <w:t>, замещавш</w:t>
      </w:r>
      <w:r w:rsidR="00A90570">
        <w:rPr>
          <w:color w:val="000000"/>
          <w:szCs w:val="28"/>
        </w:rPr>
        <w:t>ие муниципальные должности</w:t>
      </w:r>
      <w:r w:rsidR="00A90570" w:rsidRPr="00E33F4C">
        <w:rPr>
          <w:color w:val="000000"/>
          <w:szCs w:val="28"/>
        </w:rPr>
        <w:t xml:space="preserve"> и имеющее стаж муниципальной службы, минимальная продолжительность которого за выслугу лет в соответствующем году определяется согласно приложению к</w:t>
      </w:r>
      <w:r w:rsidR="00A62DDE">
        <w:rPr>
          <w:color w:val="000000"/>
          <w:szCs w:val="28"/>
        </w:rPr>
        <w:t xml:space="preserve"> </w:t>
      </w:r>
      <w:hyperlink r:id="rId30" w:tgtFrame="_blank" w:history="1">
        <w:r w:rsidR="00A90570" w:rsidRPr="00E33F4C">
          <w:rPr>
            <w:color w:val="0000FF"/>
            <w:szCs w:val="28"/>
          </w:rPr>
          <w:t>Федеральному закону от 15.12.2001 № 166-ФЗ</w:t>
        </w:r>
      </w:hyperlink>
      <w:r w:rsidR="00A90570" w:rsidRPr="00E33F4C">
        <w:rPr>
          <w:color w:val="000000"/>
          <w:szCs w:val="28"/>
        </w:rPr>
        <w:t> «О государственном пенсионном обеспечении в Российской Федерации», имеет право на назначение пенсии за выслугу лет в порядке и размере, предусмотренных решением Совета депутатов для назначения пенсии за выслугу лет муниципальным служащим.</w:t>
      </w:r>
    </w:p>
    <w:p w14:paraId="765BEED9" w14:textId="31258740" w:rsidR="00A62DDE" w:rsidRPr="00E33F4C" w:rsidRDefault="00A62DDE" w:rsidP="00A9057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Лица, замещавшие выборные муниципальные должности и прекратившие исполнение полномочий до 01.08.2008 имеют право на назначении им пенсии за выслугу лет на условиях, установленных 8 </w:t>
      </w:r>
      <w:hyperlink r:id="rId31" w:tgtFrame="_blank" w:history="1">
        <w:r w:rsidRPr="00E33F4C">
          <w:rPr>
            <w:color w:val="0000FF"/>
            <w:szCs w:val="28"/>
          </w:rPr>
          <w:t>Закона Красноярского края от 26.06.2008 № 6-1832</w:t>
        </w:r>
      </w:hyperlink>
      <w:r w:rsidRPr="00E33F4C">
        <w:rPr>
          <w:color w:val="000000"/>
          <w:szCs w:val="28"/>
        </w:rPr>
        <w:t> «О гарантиях осуществления полномочий лиц, замещающих муниципальные должности в Красноярском крае»</w:t>
      </w:r>
      <w:r>
        <w:rPr>
          <w:color w:val="000000"/>
          <w:szCs w:val="28"/>
        </w:rPr>
        <w:t>, в соответствии с настоящим Уставом, с момента обращения в соответствующий орган местного самоуправления.</w:t>
      </w:r>
    </w:p>
    <w:p w14:paraId="4C16F2A4" w14:textId="25A09059" w:rsidR="00A90570" w:rsidRPr="00E33F4C" w:rsidRDefault="00A62DDE" w:rsidP="00A9057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="00A90570" w:rsidRPr="00E33F4C">
        <w:rPr>
          <w:color w:val="000000"/>
          <w:szCs w:val="28"/>
        </w:rPr>
        <w:t>. Периоды исполнения полномочий по замещаемым муниципальным должностям для назначения пенсии за выслугу лет в соответствии с требованиями статьи 8 </w:t>
      </w:r>
      <w:hyperlink r:id="rId32" w:tgtFrame="_blank" w:history="1">
        <w:r w:rsidR="00A90570" w:rsidRPr="00E33F4C">
          <w:rPr>
            <w:color w:val="0000FF"/>
            <w:szCs w:val="28"/>
          </w:rPr>
          <w:t>Закона Красноярского края от 26.06.2008 № 6-1832</w:t>
        </w:r>
      </w:hyperlink>
      <w:r w:rsidR="00A90570" w:rsidRPr="00E33F4C">
        <w:rPr>
          <w:color w:val="000000"/>
          <w:szCs w:val="28"/>
        </w:rPr>
        <w:t> «О гарантиях осуществления полномочий лиц, замещающих муниципальные должности в Красноярском крае» включают периоды замещения должностей:</w:t>
      </w:r>
    </w:p>
    <w:p w14:paraId="27674C2E" w14:textId="77777777" w:rsidR="00A90570" w:rsidRPr="00E33F4C" w:rsidRDefault="00A90570" w:rsidP="00A90570">
      <w:pPr>
        <w:ind w:firstLine="709"/>
        <w:jc w:val="both"/>
        <w:rPr>
          <w:color w:val="000000"/>
          <w:szCs w:val="28"/>
        </w:rPr>
      </w:pPr>
      <w:r w:rsidRPr="00E33F4C">
        <w:rPr>
          <w:color w:val="000000"/>
          <w:szCs w:val="28"/>
        </w:rPr>
        <w:t xml:space="preserve">1) председателей исполкомов районных, поселковых и сельских Советов народных депутатов (Советов депутатов трудящихся) в </w:t>
      </w:r>
      <w:proofErr w:type="spellStart"/>
      <w:r>
        <w:rPr>
          <w:color w:val="000000"/>
          <w:szCs w:val="28"/>
        </w:rPr>
        <w:t>Ужурском</w:t>
      </w:r>
      <w:proofErr w:type="spellEnd"/>
      <w:r w:rsidRPr="00E33F4C">
        <w:rPr>
          <w:color w:val="000000"/>
          <w:szCs w:val="28"/>
        </w:rPr>
        <w:t xml:space="preserve"> районе - до 31.12.1991</w:t>
      </w:r>
      <w:r>
        <w:rPr>
          <w:color w:val="000000"/>
          <w:szCs w:val="28"/>
        </w:rPr>
        <w:t xml:space="preserve"> </w:t>
      </w:r>
      <w:r w:rsidRPr="00E33F4C">
        <w:rPr>
          <w:color w:val="000000"/>
          <w:szCs w:val="28"/>
        </w:rPr>
        <w:t>или до окончания сроков их полномочий;</w:t>
      </w:r>
    </w:p>
    <w:p w14:paraId="40E248F1" w14:textId="77777777" w:rsidR="00A90570" w:rsidRPr="00E33F4C" w:rsidRDefault="00A90570" w:rsidP="00A90570">
      <w:pPr>
        <w:ind w:firstLine="709"/>
        <w:jc w:val="both"/>
        <w:rPr>
          <w:color w:val="000000"/>
          <w:szCs w:val="28"/>
        </w:rPr>
      </w:pPr>
      <w:r w:rsidRPr="00E33F4C">
        <w:rPr>
          <w:color w:val="000000"/>
          <w:szCs w:val="28"/>
        </w:rPr>
        <w:t xml:space="preserve">2) назначенных глав местных администраций в </w:t>
      </w:r>
      <w:proofErr w:type="spellStart"/>
      <w:r>
        <w:rPr>
          <w:color w:val="000000"/>
          <w:szCs w:val="28"/>
        </w:rPr>
        <w:t>Ужурском</w:t>
      </w:r>
      <w:proofErr w:type="spellEnd"/>
      <w:r w:rsidRPr="00E33F4C">
        <w:rPr>
          <w:color w:val="000000"/>
          <w:szCs w:val="28"/>
        </w:rPr>
        <w:t xml:space="preserve"> районе - до 31.12.199</w:t>
      </w:r>
      <w:r>
        <w:rPr>
          <w:color w:val="000000"/>
          <w:szCs w:val="28"/>
        </w:rPr>
        <w:t>6</w:t>
      </w:r>
      <w:r w:rsidRPr="00E33F4C">
        <w:rPr>
          <w:color w:val="000000"/>
          <w:szCs w:val="28"/>
        </w:rPr>
        <w:t>;</w:t>
      </w:r>
    </w:p>
    <w:p w14:paraId="44152349" w14:textId="77777777" w:rsidR="00A90570" w:rsidRPr="00E33F4C" w:rsidRDefault="00A90570" w:rsidP="00A90570">
      <w:pPr>
        <w:ind w:firstLine="709"/>
        <w:jc w:val="both"/>
        <w:rPr>
          <w:color w:val="000000"/>
          <w:szCs w:val="28"/>
        </w:rPr>
      </w:pPr>
      <w:r w:rsidRPr="00E33F4C">
        <w:rPr>
          <w:color w:val="000000"/>
          <w:szCs w:val="28"/>
        </w:rPr>
        <w:t xml:space="preserve">3) выборных должностей в органах местного самоуправления </w:t>
      </w:r>
      <w:proofErr w:type="spellStart"/>
      <w:r>
        <w:rPr>
          <w:color w:val="000000"/>
          <w:szCs w:val="28"/>
        </w:rPr>
        <w:t>Ужурского</w:t>
      </w:r>
      <w:proofErr w:type="spellEnd"/>
      <w:r w:rsidRPr="00E33F4C">
        <w:rPr>
          <w:color w:val="000000"/>
          <w:szCs w:val="28"/>
        </w:rPr>
        <w:t xml:space="preserve"> района - со 02.08.1991</w:t>
      </w:r>
      <w:r>
        <w:rPr>
          <w:color w:val="000000"/>
          <w:szCs w:val="28"/>
        </w:rPr>
        <w:t>.</w:t>
      </w:r>
    </w:p>
    <w:p w14:paraId="08BAC0B2" w14:textId="7EFCE449" w:rsidR="00ED2CA0" w:rsidRPr="00A90570" w:rsidRDefault="00A90570" w:rsidP="00A90570">
      <w:pPr>
        <w:ind w:firstLine="709"/>
        <w:jc w:val="both"/>
        <w:rPr>
          <w:color w:val="000000"/>
          <w:szCs w:val="28"/>
        </w:rPr>
      </w:pPr>
      <w:r w:rsidRPr="00E33F4C">
        <w:rPr>
          <w:color w:val="000000"/>
          <w:szCs w:val="28"/>
        </w:rPr>
        <w:t>1</w:t>
      </w:r>
      <w:r w:rsidR="00A62DDE">
        <w:rPr>
          <w:color w:val="000000"/>
          <w:szCs w:val="28"/>
        </w:rPr>
        <w:t>1</w:t>
      </w:r>
      <w:r w:rsidRPr="00E33F4C">
        <w:rPr>
          <w:color w:val="000000"/>
          <w:szCs w:val="28"/>
        </w:rPr>
        <w:t>. Пенсия за выслугу лет, предусмотренная настоящим Уставом, назначается по заявлению лица, претендующего на ее установление, решением руководителя соответствующего органа местного самоуправления, в котором лицо, претендующее на пенсию за выслугу лет, замещало муниципальную должность либо его правопреемника с момента обращения в соответствующий орган местного самоуправления.</w:t>
      </w:r>
      <w:r>
        <w:rPr>
          <w:color w:val="000000"/>
          <w:szCs w:val="28"/>
        </w:rPr>
        <w:t>»</w:t>
      </w:r>
      <w:r w:rsidR="00A62DDE">
        <w:rPr>
          <w:color w:val="000000"/>
          <w:szCs w:val="28"/>
        </w:rPr>
        <w:t>.</w:t>
      </w:r>
    </w:p>
    <w:p w14:paraId="7F7F2754" w14:textId="77777777" w:rsidR="00ED2CA0" w:rsidRDefault="00BC3199">
      <w:pPr>
        <w:ind w:firstLine="709"/>
        <w:jc w:val="both"/>
      </w:pPr>
      <w:r>
        <w:rPr>
          <w:bCs/>
          <w:szCs w:val="28"/>
        </w:rPr>
        <w:t>2.</w:t>
      </w:r>
      <w:r>
        <w:rPr>
          <w:szCs w:val="28"/>
        </w:rPr>
        <w:t xml:space="preserve"> Настоящее Решение «О внесении изменений и дополнений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края» подлежит официальному обнародованию после государственной регистрации и вступает в силу в день, следующий за днем официального обнародования.</w:t>
      </w:r>
    </w:p>
    <w:p w14:paraId="4C14CA56" w14:textId="77777777" w:rsidR="00ED2CA0" w:rsidRDefault="00BC319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Глава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обязан опубликовать зарегистрированное Решение «О внесении изменений и дополнений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края»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54A312CB" w14:textId="77777777" w:rsidR="00ED2CA0" w:rsidRDefault="00ED2CA0">
      <w:pPr>
        <w:pStyle w:val="a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4CF83" w14:textId="77777777" w:rsidR="00ED2CA0" w:rsidRDefault="00ED2CA0">
      <w:pPr>
        <w:pStyle w:val="a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2"/>
        <w:tblW w:w="9461" w:type="dxa"/>
        <w:tblLook w:val="01E0" w:firstRow="1" w:lastRow="1" w:firstColumn="1" w:lastColumn="1" w:noHBand="0" w:noVBand="0"/>
      </w:tblPr>
      <w:tblGrid>
        <w:gridCol w:w="4732"/>
        <w:gridCol w:w="4729"/>
      </w:tblGrid>
      <w:tr w:rsidR="00ED2CA0" w14:paraId="01A2E7D7" w14:textId="77777777">
        <w:trPr>
          <w:trHeight w:val="1364"/>
        </w:trPr>
        <w:tc>
          <w:tcPr>
            <w:tcW w:w="4732" w:type="dxa"/>
          </w:tcPr>
          <w:p w14:paraId="2C699F4B" w14:textId="77777777" w:rsidR="00ED2CA0" w:rsidRDefault="00BC319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14:paraId="6B10DDC1" w14:textId="77777777" w:rsidR="00ED2CA0" w:rsidRDefault="00BC319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А.С.)</w:t>
            </w:r>
          </w:p>
        </w:tc>
        <w:tc>
          <w:tcPr>
            <w:tcW w:w="4729" w:type="dxa"/>
          </w:tcPr>
          <w:p w14:paraId="01182955" w14:textId="77777777" w:rsidR="00ED2CA0" w:rsidRDefault="00BC319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14:paraId="16F64ADE" w14:textId="77777777" w:rsidR="00ED2CA0" w:rsidRDefault="00BC319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Зарецкий К.Н.)</w:t>
            </w:r>
            <w:bookmarkEnd w:id="2"/>
          </w:p>
        </w:tc>
      </w:tr>
    </w:tbl>
    <w:p w14:paraId="61A4E321" w14:textId="77777777" w:rsidR="00ED2CA0" w:rsidRDefault="00ED2CA0">
      <w:pPr>
        <w:rPr>
          <w:sz w:val="26"/>
          <w:szCs w:val="26"/>
        </w:rPr>
      </w:pPr>
    </w:p>
    <w:sectPr w:rsidR="00ED2C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0913B" w14:textId="77777777" w:rsidR="00383C2E" w:rsidRDefault="00383C2E">
      <w:r>
        <w:separator/>
      </w:r>
    </w:p>
  </w:endnote>
  <w:endnote w:type="continuationSeparator" w:id="0">
    <w:p w14:paraId="23D46FD1" w14:textId="77777777" w:rsidR="00383C2E" w:rsidRDefault="0038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585DF" w14:textId="77777777" w:rsidR="00383C2E" w:rsidRDefault="00383C2E">
      <w:r>
        <w:separator/>
      </w:r>
    </w:p>
  </w:footnote>
  <w:footnote w:type="continuationSeparator" w:id="0">
    <w:p w14:paraId="11F9B9EB" w14:textId="77777777" w:rsidR="00383C2E" w:rsidRDefault="00383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A0"/>
    <w:rsid w:val="00383C2E"/>
    <w:rsid w:val="00564263"/>
    <w:rsid w:val="00627684"/>
    <w:rsid w:val="00687CC8"/>
    <w:rsid w:val="008D70ED"/>
    <w:rsid w:val="0092091B"/>
    <w:rsid w:val="009336FF"/>
    <w:rsid w:val="00A62DDE"/>
    <w:rsid w:val="00A90570"/>
    <w:rsid w:val="00AF1517"/>
    <w:rsid w:val="00B4197A"/>
    <w:rsid w:val="00BC3199"/>
    <w:rsid w:val="00E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9001"/>
  <w15:docId w15:val="{AC256FB5-26AE-4B73-97D6-9C6E89A7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unhideWhenUsed/>
    <w:rPr>
      <w:sz w:val="20"/>
    </w:rPr>
  </w:style>
  <w:style w:type="character" w:customStyle="1" w:styleId="af1">
    <w:name w:val="Текст сноски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pPr>
      <w:jc w:val="center"/>
    </w:pPr>
  </w:style>
  <w:style w:type="character" w:customStyle="1" w:styleId="af3">
    <w:name w:val="Заголовок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  <w:rPr>
      <w:sz w:val="20"/>
    </w:rPr>
  </w:style>
  <w:style w:type="character" w:customStyle="1" w:styleId="26">
    <w:name w:val="Основной текст 2 Знак"/>
    <w:basedOn w:val="a0"/>
    <w:link w:val="2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uiPriority w:val="99"/>
    <w:unhideWhenUsed/>
    <w:rPr>
      <w:vertAlign w:val="superscript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otnoteCharacters">
    <w:name w:val="Footnote Characters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999&amp;dst=100460" TargetMode="External"/><Relationship Id="rId18" Type="http://schemas.openxmlformats.org/officeDocument/2006/relationships/hyperlink" Target="https://login.consultant.ru/link/?req=doc&amp;base=LAW&amp;n=480999&amp;dst=100522" TargetMode="External"/><Relationship Id="rId26" Type="http://schemas.openxmlformats.org/officeDocument/2006/relationships/hyperlink" Target="https://pravo-search.minjust.ru/bigs/showDocument.html?id=E262A5DE-C87F-42B7-A120-7DCF949D88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999&amp;dst=100789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0999&amp;dst=100457" TargetMode="External"/><Relationship Id="rId17" Type="http://schemas.openxmlformats.org/officeDocument/2006/relationships/hyperlink" Target="https://login.consultant.ru/link/?req=doc&amp;base=LAW&amp;n=480999&amp;dst=100519" TargetMode="External"/><Relationship Id="rId25" Type="http://schemas.openxmlformats.org/officeDocument/2006/relationships/hyperlink" Target="https://pravo-search.minjust.ru/bigs/showDocument.html?id=6AA00FA4-B13B-4B57-8ADF-F089F6B6A7B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999&amp;dst=673" TargetMode="External"/><Relationship Id="rId20" Type="http://schemas.openxmlformats.org/officeDocument/2006/relationships/hyperlink" Target="https://login.consultant.ru/link/?req=doc&amp;base=LAW&amp;n=480999&amp;dst=674" TargetMode="External"/><Relationship Id="rId29" Type="http://schemas.openxmlformats.org/officeDocument/2006/relationships/hyperlink" Target="https://pravo-search.minjust.ru/bigs/showDocument.html?id=E262A5DE-C87F-42B7-A120-7DCF949D883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999&amp;dst=101159" TargetMode="External"/><Relationship Id="rId24" Type="http://schemas.openxmlformats.org/officeDocument/2006/relationships/hyperlink" Target="https://pravo-search.minjust.ru/bigs/showDocument.html?id=60E08DD3-A113-4C2C-BF2A-D7CDCD7938DE" TargetMode="External"/><Relationship Id="rId32" Type="http://schemas.openxmlformats.org/officeDocument/2006/relationships/hyperlink" Target="https://pravo-search.minjust.ru/bigs/showDocument.html?id=6682DDF3-A0C4-43A2-B9E2-1FFEC95782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0999&amp;dst=101271" TargetMode="External"/><Relationship Id="rId23" Type="http://schemas.openxmlformats.org/officeDocument/2006/relationships/hyperlink" Target="https://pravo-search.minjust.ru/bigs/showDocument.html?id=96E20C02-1B12-465A-B64C-24AA92270007" TargetMode="External"/><Relationship Id="rId28" Type="http://schemas.openxmlformats.org/officeDocument/2006/relationships/hyperlink" Target="https://pravo-search.minjust.ru/bigs/showDocument.html?id=60E08DD3-A113-4C2C-BF2A-D7CDCD7938DE" TargetMode="External"/><Relationship Id="rId10" Type="http://schemas.openxmlformats.org/officeDocument/2006/relationships/hyperlink" Target="https://login.consultant.ru/link/?req=doc&amp;base=LAW&amp;n=480999&amp;dst=101219" TargetMode="External"/><Relationship Id="rId19" Type="http://schemas.openxmlformats.org/officeDocument/2006/relationships/hyperlink" Target="https://login.consultant.ru/link/?req=doc&amp;base=LAW&amp;n=480999&amp;dst=1108" TargetMode="External"/><Relationship Id="rId31" Type="http://schemas.openxmlformats.org/officeDocument/2006/relationships/hyperlink" Target="https://pravo-search.minjust.ru/bigs/showDocument.html?id=6682DDF3-A0C4-43A2-B9E2-1FFEC957826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login.consultant.ru/link/?req=doc&amp;base=LAW&amp;n=480999&amp;dst=100463" TargetMode="External"/><Relationship Id="rId22" Type="http://schemas.openxmlformats.org/officeDocument/2006/relationships/hyperlink" Target="https://login.consultant.ru/link/?req=doc&amp;base=LAW&amp;n=480999&amp;dst=100790" TargetMode="External"/><Relationship Id="rId27" Type="http://schemas.openxmlformats.org/officeDocument/2006/relationships/hyperlink" Target="https://pravo-search.minjust.ru/bigs/showDocument.html?id=6682DDF3-A0C4-43A2-B9E2-1FFEC9578268" TargetMode="External"/><Relationship Id="rId30" Type="http://schemas.openxmlformats.org/officeDocument/2006/relationships/hyperlink" Target="https://pravo-search.minjust.ru/bigs/showDocument.html?id=E262A5DE-C87F-42B7-A120-7DCF949D8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8A8D-242D-4E8A-BC91-8430E71D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 Дина Юсуповна</cp:lastModifiedBy>
  <cp:revision>2</cp:revision>
  <cp:lastPrinted>2025-06-06T03:20:00Z</cp:lastPrinted>
  <dcterms:created xsi:type="dcterms:W3CDTF">2025-06-06T04:08:00Z</dcterms:created>
  <dcterms:modified xsi:type="dcterms:W3CDTF">2025-06-06T04:08:00Z</dcterms:modified>
</cp:coreProperties>
</file>